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31" w:rsidRDefault="00243D31" w:rsidP="00243D31">
      <w:pPr>
        <w:pStyle w:val="NormalnyWeb"/>
        <w:jc w:val="both"/>
      </w:pPr>
      <w:r>
        <w:rPr>
          <w:rStyle w:val="Pogrubienie"/>
        </w:rPr>
        <w:t xml:space="preserve">Oferta wakacji kredytowych (dla kredytów hipotecznych) w bankach współpracujących z </w:t>
      </w:r>
      <w:proofErr w:type="spellStart"/>
      <w:r>
        <w:rPr>
          <w:rStyle w:val="Pogrubienie"/>
        </w:rPr>
        <w:t>Expanderem</w:t>
      </w:r>
      <w:proofErr w:type="spellEnd"/>
      <w:r>
        <w:rPr>
          <w:rStyle w:val="Pogrubienie"/>
        </w:rPr>
        <w:t>:</w:t>
      </w:r>
    </w:p>
    <w:tbl>
      <w:tblPr>
        <w:tblW w:w="0" w:type="auto"/>
        <w:tblCellSpacing w:w="0" w:type="dxa"/>
        <w:tblCellMar>
          <w:left w:w="0" w:type="dxa"/>
          <w:right w:w="0" w:type="dxa"/>
        </w:tblCellMar>
        <w:tblLook w:val="04A0"/>
      </w:tblPr>
      <w:tblGrid>
        <w:gridCol w:w="1310"/>
        <w:gridCol w:w="1868"/>
        <w:gridCol w:w="1146"/>
        <w:gridCol w:w="1122"/>
        <w:gridCol w:w="3626"/>
      </w:tblGrid>
      <w:tr w:rsidR="00243D31" w:rsidTr="00243D31">
        <w:trPr>
          <w:tblCellSpacing w:w="0" w:type="dxa"/>
        </w:trPr>
        <w:tc>
          <w:tcPr>
            <w:tcW w:w="1395" w:type="dxa"/>
            <w:vAlign w:val="center"/>
            <w:hideMark/>
          </w:tcPr>
          <w:p w:rsidR="00243D31" w:rsidRDefault="00243D31">
            <w:pPr>
              <w:pStyle w:val="NormalnyWeb"/>
              <w:jc w:val="both"/>
            </w:pPr>
            <w:r>
              <w:rPr>
                <w:rStyle w:val="Pogrubienie"/>
                <w:lang w:val="en-US"/>
              </w:rPr>
              <w:t>Bank</w:t>
            </w:r>
          </w:p>
        </w:tc>
        <w:tc>
          <w:tcPr>
            <w:tcW w:w="1995" w:type="dxa"/>
            <w:vAlign w:val="center"/>
            <w:hideMark/>
          </w:tcPr>
          <w:p w:rsidR="00243D31" w:rsidRDefault="00243D31">
            <w:pPr>
              <w:pStyle w:val="NormalnyWeb"/>
              <w:jc w:val="both"/>
            </w:pPr>
            <w:r>
              <w:rPr>
                <w:rStyle w:val="Pogrubienie"/>
              </w:rPr>
              <w:t>Na ile miesięcy można zawiesić spłatę kredytu</w:t>
            </w:r>
          </w:p>
        </w:tc>
        <w:tc>
          <w:tcPr>
            <w:tcW w:w="1170" w:type="dxa"/>
            <w:vAlign w:val="center"/>
            <w:hideMark/>
          </w:tcPr>
          <w:p w:rsidR="00243D31" w:rsidRDefault="00243D31">
            <w:pPr>
              <w:pStyle w:val="NormalnyWeb"/>
              <w:jc w:val="both"/>
            </w:pPr>
            <w:r>
              <w:rPr>
                <w:rStyle w:val="Pogrubienie"/>
              </w:rPr>
              <w:t>Czy zawieszeniu ulega spłata kapitału</w:t>
            </w:r>
          </w:p>
        </w:tc>
        <w:tc>
          <w:tcPr>
            <w:tcW w:w="1140" w:type="dxa"/>
            <w:vAlign w:val="center"/>
            <w:hideMark/>
          </w:tcPr>
          <w:p w:rsidR="00243D31" w:rsidRDefault="00243D31">
            <w:pPr>
              <w:pStyle w:val="NormalnyWeb"/>
              <w:jc w:val="both"/>
            </w:pPr>
            <w:r>
              <w:rPr>
                <w:rStyle w:val="Pogrubienie"/>
              </w:rPr>
              <w:t>Czy zawieszeniu ulega spłata odsetek</w:t>
            </w:r>
          </w:p>
        </w:tc>
        <w:tc>
          <w:tcPr>
            <w:tcW w:w="4125" w:type="dxa"/>
            <w:vAlign w:val="center"/>
            <w:hideMark/>
          </w:tcPr>
          <w:p w:rsidR="00243D31" w:rsidRDefault="00243D31">
            <w:pPr>
              <w:pStyle w:val="NormalnyWeb"/>
              <w:jc w:val="both"/>
            </w:pPr>
            <w:proofErr w:type="spellStart"/>
            <w:r>
              <w:rPr>
                <w:rStyle w:val="Pogrubienie"/>
                <w:lang w:val="en-US"/>
              </w:rPr>
              <w:t>Uwagi</w:t>
            </w:r>
            <w:proofErr w:type="spellEnd"/>
          </w:p>
        </w:tc>
      </w:tr>
      <w:tr w:rsidR="00243D31" w:rsidTr="00243D31">
        <w:trPr>
          <w:tblCellSpacing w:w="0" w:type="dxa"/>
        </w:trPr>
        <w:tc>
          <w:tcPr>
            <w:tcW w:w="1395" w:type="dxa"/>
            <w:vAlign w:val="bottom"/>
            <w:hideMark/>
          </w:tcPr>
          <w:p w:rsidR="00243D31" w:rsidRDefault="00243D31">
            <w:pPr>
              <w:pStyle w:val="NormalnyWeb"/>
              <w:jc w:val="both"/>
            </w:pPr>
            <w:r>
              <w:rPr>
                <w:rStyle w:val="Pogrubienie"/>
                <w:lang w:val="en-US"/>
              </w:rPr>
              <w:t>BZ WBK</w:t>
            </w:r>
          </w:p>
        </w:tc>
        <w:tc>
          <w:tcPr>
            <w:tcW w:w="1995" w:type="dxa"/>
            <w:vAlign w:val="bottom"/>
            <w:hideMark/>
          </w:tcPr>
          <w:p w:rsidR="00243D31" w:rsidRDefault="00243D31">
            <w:pPr>
              <w:pStyle w:val="NormalnyWeb"/>
              <w:jc w:val="both"/>
            </w:pPr>
            <w:r>
              <w:rPr>
                <w:lang w:val="en-US"/>
              </w:rPr>
              <w:t>6</w:t>
            </w:r>
          </w:p>
        </w:tc>
        <w:tc>
          <w:tcPr>
            <w:tcW w:w="1170" w:type="dxa"/>
            <w:vAlign w:val="bottom"/>
            <w:hideMark/>
          </w:tcPr>
          <w:p w:rsidR="00243D31" w:rsidRDefault="00243D31">
            <w:pPr>
              <w:pStyle w:val="NormalnyWeb"/>
              <w:jc w:val="both"/>
            </w:pPr>
            <w:r>
              <w:rPr>
                <w:lang w:val="en-US"/>
              </w:rPr>
              <w:t>TAK</w:t>
            </w:r>
          </w:p>
        </w:tc>
        <w:tc>
          <w:tcPr>
            <w:tcW w:w="1140" w:type="dxa"/>
            <w:vAlign w:val="bottom"/>
            <w:hideMark/>
          </w:tcPr>
          <w:p w:rsidR="00243D31" w:rsidRDefault="00243D31">
            <w:pPr>
              <w:pStyle w:val="NormalnyWeb"/>
              <w:jc w:val="both"/>
            </w:pPr>
            <w:r>
              <w:rPr>
                <w:lang w:val="en-US"/>
              </w:rPr>
              <w:t>NIE</w:t>
            </w:r>
          </w:p>
        </w:tc>
        <w:tc>
          <w:tcPr>
            <w:tcW w:w="4125" w:type="dxa"/>
            <w:vAlign w:val="bottom"/>
            <w:hideMark/>
          </w:tcPr>
          <w:p w:rsidR="00243D31" w:rsidRDefault="00243D31">
            <w:pPr>
              <w:pStyle w:val="NormalnyWeb"/>
              <w:jc w:val="both"/>
            </w:pPr>
            <w:r>
              <w:t>Spłatę można zawiesić tylko jeden raz w trakcie okresu kredytowania</w:t>
            </w:r>
          </w:p>
        </w:tc>
      </w:tr>
      <w:tr w:rsidR="00243D31" w:rsidTr="00243D31">
        <w:trPr>
          <w:tblCellSpacing w:w="0" w:type="dxa"/>
        </w:trPr>
        <w:tc>
          <w:tcPr>
            <w:tcW w:w="1395" w:type="dxa"/>
            <w:vAlign w:val="bottom"/>
            <w:hideMark/>
          </w:tcPr>
          <w:p w:rsidR="00243D31" w:rsidRDefault="00243D31">
            <w:pPr>
              <w:pStyle w:val="NormalnyWeb"/>
              <w:jc w:val="both"/>
            </w:pPr>
            <w:proofErr w:type="spellStart"/>
            <w:r>
              <w:rPr>
                <w:rStyle w:val="Pogrubienie"/>
                <w:lang w:val="en-US"/>
              </w:rPr>
              <w:t>DnB</w:t>
            </w:r>
            <w:proofErr w:type="spellEnd"/>
            <w:r>
              <w:rPr>
                <w:rStyle w:val="Pogrubienie"/>
                <w:lang w:val="en-US"/>
              </w:rPr>
              <w:t xml:space="preserve"> NORD</w:t>
            </w:r>
          </w:p>
        </w:tc>
        <w:tc>
          <w:tcPr>
            <w:tcW w:w="1995" w:type="dxa"/>
            <w:vAlign w:val="bottom"/>
            <w:hideMark/>
          </w:tcPr>
          <w:p w:rsidR="00243D31" w:rsidRDefault="00243D31">
            <w:pPr>
              <w:pStyle w:val="NormalnyWeb"/>
              <w:jc w:val="both"/>
            </w:pPr>
            <w:r>
              <w:rPr>
                <w:lang w:val="en-US"/>
              </w:rPr>
              <w:t>2</w:t>
            </w:r>
          </w:p>
        </w:tc>
        <w:tc>
          <w:tcPr>
            <w:tcW w:w="1170" w:type="dxa"/>
            <w:vAlign w:val="bottom"/>
            <w:hideMark/>
          </w:tcPr>
          <w:p w:rsidR="00243D31" w:rsidRDefault="00243D31">
            <w:pPr>
              <w:pStyle w:val="NormalnyWeb"/>
              <w:jc w:val="both"/>
            </w:pPr>
            <w:r>
              <w:rPr>
                <w:lang w:val="en-US"/>
              </w:rPr>
              <w:t>TAK</w:t>
            </w:r>
          </w:p>
        </w:tc>
        <w:tc>
          <w:tcPr>
            <w:tcW w:w="1140" w:type="dxa"/>
            <w:vAlign w:val="bottom"/>
            <w:hideMark/>
          </w:tcPr>
          <w:p w:rsidR="00243D31" w:rsidRDefault="00243D31">
            <w:pPr>
              <w:pStyle w:val="NormalnyWeb"/>
              <w:jc w:val="both"/>
            </w:pPr>
            <w:r>
              <w:rPr>
                <w:lang w:val="en-US"/>
              </w:rPr>
              <w:t>NIE</w:t>
            </w:r>
          </w:p>
        </w:tc>
        <w:tc>
          <w:tcPr>
            <w:tcW w:w="4125" w:type="dxa"/>
            <w:vAlign w:val="bottom"/>
            <w:hideMark/>
          </w:tcPr>
          <w:p w:rsidR="00243D31" w:rsidRDefault="00243D31">
            <w:pPr>
              <w:pStyle w:val="NormalnyWeb"/>
              <w:jc w:val="both"/>
            </w:pPr>
            <w:r>
              <w:t>po upływie 12 miesięcy od rozpoczęcia spłaty rat kapitałowych, do zawieszenia raz na 24 miesiące, przy czym nie częściej niż 4 razy w całym okresie obowiązywania Umowy. Bank może nie wyrazić zgody na zawieszenie spłat, między innymi w przypadku, gdy Kredytobiorca / Pożyczkobiorca nie wywiązywał się terminowo ze zobowiązań wobec Banku określonych w Umowie.</w:t>
            </w:r>
          </w:p>
        </w:tc>
      </w:tr>
      <w:tr w:rsidR="00243D31" w:rsidTr="00243D31">
        <w:trPr>
          <w:tblCellSpacing w:w="0" w:type="dxa"/>
        </w:trPr>
        <w:tc>
          <w:tcPr>
            <w:tcW w:w="1395" w:type="dxa"/>
            <w:vAlign w:val="bottom"/>
            <w:hideMark/>
          </w:tcPr>
          <w:p w:rsidR="00243D31" w:rsidRDefault="00243D31">
            <w:pPr>
              <w:pStyle w:val="NormalnyWeb"/>
              <w:jc w:val="both"/>
            </w:pPr>
            <w:r>
              <w:rPr>
                <w:rStyle w:val="Pogrubienie"/>
                <w:lang w:val="en-US"/>
              </w:rPr>
              <w:t>Dom Bank</w:t>
            </w:r>
          </w:p>
        </w:tc>
        <w:tc>
          <w:tcPr>
            <w:tcW w:w="1995" w:type="dxa"/>
            <w:vAlign w:val="bottom"/>
            <w:hideMark/>
          </w:tcPr>
          <w:p w:rsidR="00243D31" w:rsidRDefault="00243D31">
            <w:pPr>
              <w:pStyle w:val="NormalnyWeb"/>
              <w:jc w:val="both"/>
            </w:pPr>
            <w:proofErr w:type="spellStart"/>
            <w:r>
              <w:rPr>
                <w:lang w:val="en-US"/>
              </w:rPr>
              <w:t>brak</w:t>
            </w:r>
            <w:proofErr w:type="spellEnd"/>
          </w:p>
        </w:tc>
        <w:tc>
          <w:tcPr>
            <w:tcW w:w="1170" w:type="dxa"/>
            <w:vAlign w:val="bottom"/>
            <w:hideMark/>
          </w:tcPr>
          <w:p w:rsidR="00243D31" w:rsidRDefault="00243D31">
            <w:pPr>
              <w:pStyle w:val="NormalnyWeb"/>
              <w:jc w:val="both"/>
            </w:pPr>
            <w:r>
              <w:rPr>
                <w:lang w:val="en-US"/>
              </w:rPr>
              <w:t>-</w:t>
            </w:r>
          </w:p>
        </w:tc>
        <w:tc>
          <w:tcPr>
            <w:tcW w:w="1140" w:type="dxa"/>
            <w:vAlign w:val="bottom"/>
            <w:hideMark/>
          </w:tcPr>
          <w:p w:rsidR="00243D31" w:rsidRDefault="00243D31">
            <w:pPr>
              <w:pStyle w:val="NormalnyWeb"/>
              <w:jc w:val="both"/>
            </w:pPr>
            <w:r>
              <w:rPr>
                <w:lang w:val="en-US"/>
              </w:rPr>
              <w:t>-</w:t>
            </w:r>
          </w:p>
        </w:tc>
        <w:tc>
          <w:tcPr>
            <w:tcW w:w="4125" w:type="dxa"/>
            <w:vAlign w:val="bottom"/>
            <w:hideMark/>
          </w:tcPr>
          <w:p w:rsidR="00243D31" w:rsidRDefault="00243D31">
            <w:pPr>
              <w:pStyle w:val="NormalnyWeb"/>
              <w:jc w:val="both"/>
            </w:pPr>
            <w:r>
              <w:rPr>
                <w:lang w:val="en-US"/>
              </w:rPr>
              <w:t>-</w:t>
            </w:r>
          </w:p>
        </w:tc>
      </w:tr>
      <w:tr w:rsidR="00243D31" w:rsidTr="00243D31">
        <w:trPr>
          <w:tblCellSpacing w:w="0" w:type="dxa"/>
        </w:trPr>
        <w:tc>
          <w:tcPr>
            <w:tcW w:w="1395" w:type="dxa"/>
            <w:vAlign w:val="bottom"/>
            <w:hideMark/>
          </w:tcPr>
          <w:p w:rsidR="00243D31" w:rsidRDefault="00243D31">
            <w:pPr>
              <w:pStyle w:val="NormalnyWeb"/>
              <w:jc w:val="both"/>
            </w:pPr>
            <w:r>
              <w:rPr>
                <w:rStyle w:val="Pogrubienie"/>
                <w:lang w:val="en-US"/>
              </w:rPr>
              <w:t>Fortis</w:t>
            </w:r>
          </w:p>
        </w:tc>
        <w:tc>
          <w:tcPr>
            <w:tcW w:w="1995" w:type="dxa"/>
            <w:vAlign w:val="bottom"/>
            <w:hideMark/>
          </w:tcPr>
          <w:p w:rsidR="00243D31" w:rsidRDefault="00243D31">
            <w:pPr>
              <w:pStyle w:val="NormalnyWeb"/>
              <w:jc w:val="both"/>
            </w:pPr>
            <w:r>
              <w:rPr>
                <w:lang w:val="en-US"/>
              </w:rPr>
              <w:t xml:space="preserve">3 (w </w:t>
            </w:r>
            <w:proofErr w:type="spellStart"/>
            <w:r>
              <w:rPr>
                <w:lang w:val="en-US"/>
              </w:rPr>
              <w:t>roku</w:t>
            </w:r>
            <w:proofErr w:type="spellEnd"/>
            <w:r>
              <w:rPr>
                <w:lang w:val="en-US"/>
              </w:rPr>
              <w:t xml:space="preserve"> </w:t>
            </w:r>
            <w:proofErr w:type="spellStart"/>
            <w:r>
              <w:rPr>
                <w:lang w:val="en-US"/>
              </w:rPr>
              <w:t>kalendarzowym</w:t>
            </w:r>
            <w:proofErr w:type="spellEnd"/>
            <w:r>
              <w:rPr>
                <w:lang w:val="en-US"/>
              </w:rPr>
              <w:t xml:space="preserve">) </w:t>
            </w:r>
          </w:p>
        </w:tc>
        <w:tc>
          <w:tcPr>
            <w:tcW w:w="1170" w:type="dxa"/>
            <w:vAlign w:val="bottom"/>
            <w:hideMark/>
          </w:tcPr>
          <w:p w:rsidR="00243D31" w:rsidRDefault="00243D31">
            <w:pPr>
              <w:pStyle w:val="NormalnyWeb"/>
              <w:jc w:val="both"/>
            </w:pPr>
            <w:r>
              <w:rPr>
                <w:lang w:val="en-US"/>
              </w:rPr>
              <w:t>TAK</w:t>
            </w:r>
          </w:p>
        </w:tc>
        <w:tc>
          <w:tcPr>
            <w:tcW w:w="1140" w:type="dxa"/>
            <w:vAlign w:val="bottom"/>
            <w:hideMark/>
          </w:tcPr>
          <w:p w:rsidR="00243D31" w:rsidRDefault="00243D31">
            <w:pPr>
              <w:pStyle w:val="NormalnyWeb"/>
              <w:jc w:val="both"/>
            </w:pPr>
            <w:r>
              <w:rPr>
                <w:lang w:val="en-US"/>
              </w:rPr>
              <w:t>NIE</w:t>
            </w:r>
          </w:p>
        </w:tc>
        <w:tc>
          <w:tcPr>
            <w:tcW w:w="4125" w:type="dxa"/>
            <w:vAlign w:val="bottom"/>
            <w:hideMark/>
          </w:tcPr>
          <w:p w:rsidR="00243D31" w:rsidRDefault="00243D31">
            <w:pPr>
              <w:pStyle w:val="NormalnyWeb"/>
              <w:jc w:val="both"/>
            </w:pPr>
            <w:r>
              <w:t xml:space="preserve">Jeżeli kredyt został zaciągnięty na krótszy niż </w:t>
            </w:r>
            <w:proofErr w:type="spellStart"/>
            <w:r>
              <w:t>max</w:t>
            </w:r>
            <w:proofErr w:type="spellEnd"/>
            <w:r>
              <w:t xml:space="preserve">. okres kredytowania, wakacje kredytowe powodują wydłużanie okresu kredytowania o liczbę miesięcy wakacji; jeżeli kredyt jest zaciągnięty na </w:t>
            </w:r>
            <w:proofErr w:type="spellStart"/>
            <w:r>
              <w:t>max</w:t>
            </w:r>
            <w:proofErr w:type="spellEnd"/>
            <w:r>
              <w:t xml:space="preserve">. okres kredytowania, pozostały do spłaty kapitał rozkłada się proporcjonalnie na pozostały do końca okres kredytowania (wtedy w całym okresie kredytowania </w:t>
            </w:r>
            <w:proofErr w:type="spellStart"/>
            <w:r>
              <w:t>max</w:t>
            </w:r>
            <w:proofErr w:type="spellEnd"/>
            <w:r>
              <w:t>. liczba miesięcy ‘wakacyjnych’ może wynosić 15)</w:t>
            </w:r>
          </w:p>
        </w:tc>
      </w:tr>
      <w:tr w:rsidR="00243D31" w:rsidTr="00243D31">
        <w:trPr>
          <w:tblCellSpacing w:w="0" w:type="dxa"/>
        </w:trPr>
        <w:tc>
          <w:tcPr>
            <w:tcW w:w="1395" w:type="dxa"/>
            <w:vAlign w:val="bottom"/>
            <w:hideMark/>
          </w:tcPr>
          <w:p w:rsidR="00243D31" w:rsidRDefault="00243D31">
            <w:pPr>
              <w:pStyle w:val="NormalnyWeb"/>
              <w:jc w:val="both"/>
            </w:pPr>
            <w:r>
              <w:rPr>
                <w:rStyle w:val="Pogrubienie"/>
                <w:lang w:val="en-US"/>
              </w:rPr>
              <w:t>GE Money</w:t>
            </w:r>
          </w:p>
        </w:tc>
        <w:tc>
          <w:tcPr>
            <w:tcW w:w="1995" w:type="dxa"/>
            <w:vAlign w:val="bottom"/>
            <w:hideMark/>
          </w:tcPr>
          <w:p w:rsidR="00243D31" w:rsidRDefault="00243D31">
            <w:pPr>
              <w:pStyle w:val="NormalnyWeb"/>
              <w:jc w:val="both"/>
            </w:pPr>
            <w:r>
              <w:rPr>
                <w:lang w:val="en-US"/>
              </w:rPr>
              <w:t>1</w:t>
            </w:r>
          </w:p>
        </w:tc>
        <w:tc>
          <w:tcPr>
            <w:tcW w:w="1170" w:type="dxa"/>
            <w:vAlign w:val="bottom"/>
            <w:hideMark/>
          </w:tcPr>
          <w:p w:rsidR="00243D31" w:rsidRDefault="00243D31">
            <w:pPr>
              <w:pStyle w:val="NormalnyWeb"/>
              <w:jc w:val="both"/>
            </w:pPr>
            <w:r>
              <w:rPr>
                <w:lang w:val="en-US"/>
              </w:rPr>
              <w:t>TAK</w:t>
            </w:r>
          </w:p>
        </w:tc>
        <w:tc>
          <w:tcPr>
            <w:tcW w:w="1140" w:type="dxa"/>
            <w:vAlign w:val="bottom"/>
            <w:hideMark/>
          </w:tcPr>
          <w:p w:rsidR="00243D31" w:rsidRDefault="00243D31">
            <w:pPr>
              <w:pStyle w:val="NormalnyWeb"/>
              <w:jc w:val="both"/>
            </w:pPr>
            <w:r>
              <w:rPr>
                <w:lang w:val="en-US"/>
              </w:rPr>
              <w:t>TAK</w:t>
            </w:r>
          </w:p>
        </w:tc>
        <w:tc>
          <w:tcPr>
            <w:tcW w:w="4125" w:type="dxa"/>
            <w:vAlign w:val="bottom"/>
            <w:hideMark/>
          </w:tcPr>
          <w:p w:rsidR="00243D31" w:rsidRDefault="00243D31">
            <w:pPr>
              <w:pStyle w:val="NormalnyWeb"/>
              <w:jc w:val="both"/>
            </w:pPr>
            <w:r>
              <w:t>Klient powinien 14 dni wcześniej złożyć dyspozycje. Bez wnoszenia żadnych dodatkowych opłat, Klient może skorzystać z miesięcznej przerwy w spłacie kredytu raz do roku, pod warunkiem, że upłynęło dwanaście miesięcy od wypłacenia kredytu, a ostatnie sześć rat zostało uiszczone bez opóźnień. Niespłacone odsetki zostaną doliczone do kwoty kredytu (skapitalizowane). Klient jest obowiązany z wyprzedzeniem zawiadomić bank o zamiarze skorzystania z opcji przerwy w spłacaniu kredytu.</w:t>
            </w:r>
          </w:p>
        </w:tc>
      </w:tr>
      <w:tr w:rsidR="00243D31" w:rsidTr="00243D31">
        <w:trPr>
          <w:tblCellSpacing w:w="0" w:type="dxa"/>
        </w:trPr>
        <w:tc>
          <w:tcPr>
            <w:tcW w:w="1395" w:type="dxa"/>
            <w:vAlign w:val="bottom"/>
            <w:hideMark/>
          </w:tcPr>
          <w:p w:rsidR="00243D31" w:rsidRDefault="00243D31">
            <w:pPr>
              <w:pStyle w:val="NormalnyWeb"/>
              <w:jc w:val="both"/>
            </w:pPr>
            <w:proofErr w:type="spellStart"/>
            <w:r>
              <w:rPr>
                <w:rStyle w:val="Pogrubienie"/>
                <w:lang w:val="en-US"/>
              </w:rPr>
              <w:t>Kredyt</w:t>
            </w:r>
            <w:proofErr w:type="spellEnd"/>
            <w:r>
              <w:rPr>
                <w:rStyle w:val="Pogrubienie"/>
                <w:lang w:val="en-US"/>
              </w:rPr>
              <w:t xml:space="preserve"> Bank</w:t>
            </w:r>
          </w:p>
        </w:tc>
        <w:tc>
          <w:tcPr>
            <w:tcW w:w="1995" w:type="dxa"/>
            <w:vAlign w:val="bottom"/>
            <w:hideMark/>
          </w:tcPr>
          <w:p w:rsidR="00243D31" w:rsidRDefault="00243D31">
            <w:pPr>
              <w:pStyle w:val="NormalnyWeb"/>
              <w:jc w:val="both"/>
            </w:pPr>
            <w:r>
              <w:rPr>
                <w:lang w:val="en-US"/>
              </w:rPr>
              <w:t xml:space="preserve">1 (w </w:t>
            </w:r>
            <w:proofErr w:type="spellStart"/>
            <w:r>
              <w:rPr>
                <w:lang w:val="en-US"/>
              </w:rPr>
              <w:t>roku</w:t>
            </w:r>
            <w:proofErr w:type="spellEnd"/>
            <w:r>
              <w:rPr>
                <w:lang w:val="en-US"/>
              </w:rPr>
              <w:t xml:space="preserve"> </w:t>
            </w:r>
            <w:proofErr w:type="spellStart"/>
            <w:r>
              <w:rPr>
                <w:lang w:val="en-US"/>
              </w:rPr>
              <w:t>kalendarzowym</w:t>
            </w:r>
            <w:proofErr w:type="spellEnd"/>
            <w:r>
              <w:rPr>
                <w:lang w:val="en-US"/>
              </w:rPr>
              <w:t xml:space="preserve">) </w:t>
            </w:r>
          </w:p>
        </w:tc>
        <w:tc>
          <w:tcPr>
            <w:tcW w:w="1170" w:type="dxa"/>
            <w:vAlign w:val="bottom"/>
            <w:hideMark/>
          </w:tcPr>
          <w:p w:rsidR="00243D31" w:rsidRDefault="00243D31">
            <w:pPr>
              <w:pStyle w:val="NormalnyWeb"/>
              <w:jc w:val="both"/>
            </w:pPr>
            <w:r>
              <w:rPr>
                <w:lang w:val="en-US"/>
              </w:rPr>
              <w:t>TAK</w:t>
            </w:r>
          </w:p>
        </w:tc>
        <w:tc>
          <w:tcPr>
            <w:tcW w:w="1140" w:type="dxa"/>
            <w:vAlign w:val="bottom"/>
            <w:hideMark/>
          </w:tcPr>
          <w:p w:rsidR="00243D31" w:rsidRDefault="00243D31">
            <w:pPr>
              <w:pStyle w:val="NormalnyWeb"/>
              <w:jc w:val="both"/>
            </w:pPr>
            <w:r>
              <w:rPr>
                <w:lang w:val="en-US"/>
              </w:rPr>
              <w:t>TAK</w:t>
            </w:r>
          </w:p>
        </w:tc>
        <w:tc>
          <w:tcPr>
            <w:tcW w:w="4125" w:type="dxa"/>
            <w:vAlign w:val="bottom"/>
            <w:hideMark/>
          </w:tcPr>
          <w:p w:rsidR="00243D31" w:rsidRDefault="00243D31">
            <w:pPr>
              <w:pStyle w:val="NormalnyWeb"/>
              <w:jc w:val="both"/>
            </w:pPr>
            <w:r>
              <w:t>W przypadku kredytów dla których okres spłaty kredytu wraz z należnymi odsetkami (rat kapitałowo-odsetkowych) liczony od dnia złożenia wniosku o zawieszenie spłaty nie przekracza 360 miesięcy. Warunkiem zawieszenie spłaty raty kredytu jest spłata wszystkich rat wymagalnych do dnia złożenia wniosku.</w:t>
            </w:r>
          </w:p>
        </w:tc>
      </w:tr>
      <w:tr w:rsidR="00243D31" w:rsidTr="00243D31">
        <w:trPr>
          <w:tblCellSpacing w:w="0" w:type="dxa"/>
        </w:trPr>
        <w:tc>
          <w:tcPr>
            <w:tcW w:w="1395" w:type="dxa"/>
            <w:vAlign w:val="bottom"/>
            <w:hideMark/>
          </w:tcPr>
          <w:p w:rsidR="00243D31" w:rsidRDefault="00243D31">
            <w:pPr>
              <w:pStyle w:val="NormalnyWeb"/>
              <w:jc w:val="both"/>
            </w:pPr>
            <w:r>
              <w:rPr>
                <w:rStyle w:val="Pogrubienie"/>
                <w:lang w:val="en-US"/>
              </w:rPr>
              <w:t>Lukas Bank</w:t>
            </w:r>
          </w:p>
        </w:tc>
        <w:tc>
          <w:tcPr>
            <w:tcW w:w="1995" w:type="dxa"/>
            <w:vAlign w:val="bottom"/>
            <w:hideMark/>
          </w:tcPr>
          <w:p w:rsidR="00243D31" w:rsidRDefault="00243D31">
            <w:pPr>
              <w:pStyle w:val="NormalnyWeb"/>
              <w:jc w:val="both"/>
            </w:pPr>
            <w:r>
              <w:rPr>
                <w:lang w:val="en-US"/>
              </w:rPr>
              <w:t>1</w:t>
            </w:r>
          </w:p>
        </w:tc>
        <w:tc>
          <w:tcPr>
            <w:tcW w:w="1170" w:type="dxa"/>
            <w:vAlign w:val="bottom"/>
            <w:hideMark/>
          </w:tcPr>
          <w:p w:rsidR="00243D31" w:rsidRDefault="00243D31">
            <w:pPr>
              <w:pStyle w:val="NormalnyWeb"/>
              <w:jc w:val="both"/>
            </w:pPr>
            <w:r>
              <w:rPr>
                <w:lang w:val="en-US"/>
              </w:rPr>
              <w:t>TAK</w:t>
            </w:r>
          </w:p>
        </w:tc>
        <w:tc>
          <w:tcPr>
            <w:tcW w:w="1140" w:type="dxa"/>
            <w:vAlign w:val="bottom"/>
            <w:hideMark/>
          </w:tcPr>
          <w:p w:rsidR="00243D31" w:rsidRDefault="00243D31">
            <w:pPr>
              <w:pStyle w:val="NormalnyWeb"/>
              <w:jc w:val="both"/>
            </w:pPr>
            <w:r>
              <w:rPr>
                <w:lang w:val="en-US"/>
              </w:rPr>
              <w:t>NIE</w:t>
            </w:r>
          </w:p>
        </w:tc>
        <w:tc>
          <w:tcPr>
            <w:tcW w:w="4125" w:type="dxa"/>
            <w:vAlign w:val="bottom"/>
            <w:hideMark/>
          </w:tcPr>
          <w:p w:rsidR="00243D31" w:rsidRDefault="00243D31">
            <w:pPr>
              <w:pStyle w:val="NormalnyWeb"/>
              <w:jc w:val="both"/>
            </w:pPr>
            <w:r>
              <w:rPr>
                <w:lang w:val="en-US"/>
              </w:rPr>
              <w:t xml:space="preserve">1 rata </w:t>
            </w:r>
            <w:proofErr w:type="spellStart"/>
            <w:r>
              <w:rPr>
                <w:lang w:val="en-US"/>
              </w:rPr>
              <w:t>rocznie</w:t>
            </w:r>
            <w:proofErr w:type="spellEnd"/>
          </w:p>
        </w:tc>
      </w:tr>
      <w:tr w:rsidR="00243D31" w:rsidTr="00243D31">
        <w:trPr>
          <w:tblCellSpacing w:w="0" w:type="dxa"/>
        </w:trPr>
        <w:tc>
          <w:tcPr>
            <w:tcW w:w="1395" w:type="dxa"/>
            <w:vAlign w:val="bottom"/>
            <w:hideMark/>
          </w:tcPr>
          <w:p w:rsidR="00243D31" w:rsidRDefault="00243D31">
            <w:pPr>
              <w:pStyle w:val="NormalnyWeb"/>
              <w:jc w:val="both"/>
            </w:pPr>
            <w:proofErr w:type="spellStart"/>
            <w:r>
              <w:rPr>
                <w:rStyle w:val="Pogrubienie"/>
                <w:lang w:val="en-US"/>
              </w:rPr>
              <w:t>mBank</w:t>
            </w:r>
            <w:proofErr w:type="spellEnd"/>
          </w:p>
        </w:tc>
        <w:tc>
          <w:tcPr>
            <w:tcW w:w="1995" w:type="dxa"/>
            <w:vAlign w:val="bottom"/>
            <w:hideMark/>
          </w:tcPr>
          <w:p w:rsidR="00243D31" w:rsidRDefault="00243D31">
            <w:pPr>
              <w:pStyle w:val="NormalnyWeb"/>
              <w:jc w:val="both"/>
            </w:pPr>
            <w:proofErr w:type="spellStart"/>
            <w:r>
              <w:rPr>
                <w:lang w:val="en-US"/>
              </w:rPr>
              <w:t>brak</w:t>
            </w:r>
            <w:proofErr w:type="spellEnd"/>
          </w:p>
        </w:tc>
        <w:tc>
          <w:tcPr>
            <w:tcW w:w="1170" w:type="dxa"/>
            <w:vAlign w:val="bottom"/>
            <w:hideMark/>
          </w:tcPr>
          <w:p w:rsidR="00243D31" w:rsidRDefault="00243D31">
            <w:pPr>
              <w:pStyle w:val="NormalnyWeb"/>
              <w:jc w:val="both"/>
            </w:pPr>
            <w:r>
              <w:rPr>
                <w:lang w:val="en-US"/>
              </w:rPr>
              <w:t>-</w:t>
            </w:r>
          </w:p>
        </w:tc>
        <w:tc>
          <w:tcPr>
            <w:tcW w:w="1140" w:type="dxa"/>
            <w:vAlign w:val="bottom"/>
            <w:hideMark/>
          </w:tcPr>
          <w:p w:rsidR="00243D31" w:rsidRDefault="00243D31">
            <w:pPr>
              <w:pStyle w:val="NormalnyWeb"/>
              <w:jc w:val="both"/>
            </w:pPr>
            <w:r>
              <w:rPr>
                <w:lang w:val="en-US"/>
              </w:rPr>
              <w:t>-</w:t>
            </w:r>
          </w:p>
        </w:tc>
        <w:tc>
          <w:tcPr>
            <w:tcW w:w="4125" w:type="dxa"/>
            <w:vAlign w:val="bottom"/>
            <w:hideMark/>
          </w:tcPr>
          <w:p w:rsidR="00243D31" w:rsidRDefault="00243D31">
            <w:pPr>
              <w:pStyle w:val="NormalnyWeb"/>
              <w:jc w:val="both"/>
            </w:pPr>
            <w:r>
              <w:rPr>
                <w:lang w:val="en-US"/>
              </w:rPr>
              <w:t>-</w:t>
            </w:r>
          </w:p>
        </w:tc>
      </w:tr>
      <w:tr w:rsidR="00243D31" w:rsidTr="00243D31">
        <w:trPr>
          <w:tblCellSpacing w:w="0" w:type="dxa"/>
        </w:trPr>
        <w:tc>
          <w:tcPr>
            <w:tcW w:w="1395" w:type="dxa"/>
            <w:vAlign w:val="bottom"/>
            <w:hideMark/>
          </w:tcPr>
          <w:p w:rsidR="00243D31" w:rsidRDefault="00243D31">
            <w:pPr>
              <w:pStyle w:val="NormalnyWeb"/>
              <w:jc w:val="both"/>
            </w:pPr>
            <w:r>
              <w:rPr>
                <w:rStyle w:val="Pogrubienie"/>
                <w:lang w:val="en-US"/>
              </w:rPr>
              <w:t>Millennium</w:t>
            </w:r>
          </w:p>
        </w:tc>
        <w:tc>
          <w:tcPr>
            <w:tcW w:w="1995" w:type="dxa"/>
            <w:vAlign w:val="bottom"/>
            <w:hideMark/>
          </w:tcPr>
          <w:p w:rsidR="00243D31" w:rsidRDefault="00243D31">
            <w:pPr>
              <w:pStyle w:val="NormalnyWeb"/>
              <w:jc w:val="both"/>
            </w:pPr>
            <w:r>
              <w:rPr>
                <w:lang w:val="en-US"/>
              </w:rPr>
              <w:t xml:space="preserve">1 (w </w:t>
            </w:r>
            <w:proofErr w:type="spellStart"/>
            <w:r>
              <w:rPr>
                <w:lang w:val="en-US"/>
              </w:rPr>
              <w:t>roku</w:t>
            </w:r>
            <w:proofErr w:type="spellEnd"/>
            <w:r>
              <w:rPr>
                <w:lang w:val="en-US"/>
              </w:rPr>
              <w:t xml:space="preserve"> </w:t>
            </w:r>
            <w:proofErr w:type="spellStart"/>
            <w:r>
              <w:rPr>
                <w:lang w:val="en-US"/>
              </w:rPr>
              <w:t>kalendarzowym</w:t>
            </w:r>
            <w:proofErr w:type="spellEnd"/>
            <w:r>
              <w:rPr>
                <w:lang w:val="en-US"/>
              </w:rPr>
              <w:t xml:space="preserve">) </w:t>
            </w:r>
          </w:p>
        </w:tc>
        <w:tc>
          <w:tcPr>
            <w:tcW w:w="1170" w:type="dxa"/>
            <w:vAlign w:val="bottom"/>
            <w:hideMark/>
          </w:tcPr>
          <w:p w:rsidR="00243D31" w:rsidRDefault="00243D31">
            <w:pPr>
              <w:pStyle w:val="NormalnyWeb"/>
              <w:jc w:val="both"/>
            </w:pPr>
            <w:r>
              <w:rPr>
                <w:lang w:val="en-US"/>
              </w:rPr>
              <w:t>TAK</w:t>
            </w:r>
          </w:p>
        </w:tc>
        <w:tc>
          <w:tcPr>
            <w:tcW w:w="1140" w:type="dxa"/>
            <w:vAlign w:val="bottom"/>
            <w:hideMark/>
          </w:tcPr>
          <w:p w:rsidR="00243D31" w:rsidRDefault="00243D31">
            <w:pPr>
              <w:pStyle w:val="NormalnyWeb"/>
              <w:jc w:val="both"/>
            </w:pPr>
            <w:r>
              <w:rPr>
                <w:lang w:val="en-US"/>
              </w:rPr>
              <w:t>TAK</w:t>
            </w:r>
          </w:p>
        </w:tc>
        <w:tc>
          <w:tcPr>
            <w:tcW w:w="4125" w:type="dxa"/>
            <w:vAlign w:val="bottom"/>
            <w:hideMark/>
          </w:tcPr>
          <w:p w:rsidR="00243D31" w:rsidRDefault="00243D31">
            <w:pPr>
              <w:pStyle w:val="NormalnyWeb"/>
              <w:jc w:val="both"/>
            </w:pPr>
            <w:r>
              <w:t>Skorzystanie z wakacji kredytowych jest możliwe dopiero po upływie 12 miesięcy trwania umowy kredytu, ale nie wcześniej niż po zakończeniu okresu karencji w spłacie kapitału oraz pod warunkiem terminowej obsługi kredytu.</w:t>
            </w:r>
          </w:p>
        </w:tc>
      </w:tr>
      <w:tr w:rsidR="00243D31" w:rsidTr="00243D31">
        <w:trPr>
          <w:tblCellSpacing w:w="0" w:type="dxa"/>
        </w:trPr>
        <w:tc>
          <w:tcPr>
            <w:tcW w:w="1395" w:type="dxa"/>
            <w:vAlign w:val="bottom"/>
            <w:hideMark/>
          </w:tcPr>
          <w:p w:rsidR="00243D31" w:rsidRDefault="00243D31">
            <w:pPr>
              <w:pStyle w:val="NormalnyWeb"/>
              <w:jc w:val="both"/>
            </w:pPr>
            <w:r>
              <w:rPr>
                <w:rStyle w:val="Pogrubienie"/>
                <w:lang w:val="en-US"/>
              </w:rPr>
              <w:t>Multibank</w:t>
            </w:r>
          </w:p>
        </w:tc>
        <w:tc>
          <w:tcPr>
            <w:tcW w:w="1995" w:type="dxa"/>
            <w:vAlign w:val="bottom"/>
            <w:hideMark/>
          </w:tcPr>
          <w:p w:rsidR="00243D31" w:rsidRDefault="00243D31">
            <w:pPr>
              <w:pStyle w:val="NormalnyWeb"/>
              <w:jc w:val="both"/>
            </w:pPr>
            <w:proofErr w:type="spellStart"/>
            <w:r>
              <w:rPr>
                <w:lang w:val="en-US"/>
              </w:rPr>
              <w:t>brak</w:t>
            </w:r>
            <w:proofErr w:type="spellEnd"/>
          </w:p>
        </w:tc>
        <w:tc>
          <w:tcPr>
            <w:tcW w:w="1170" w:type="dxa"/>
            <w:vAlign w:val="bottom"/>
            <w:hideMark/>
          </w:tcPr>
          <w:p w:rsidR="00243D31" w:rsidRDefault="00243D31">
            <w:pPr>
              <w:pStyle w:val="NormalnyWeb"/>
              <w:jc w:val="both"/>
            </w:pPr>
            <w:r>
              <w:rPr>
                <w:lang w:val="en-US"/>
              </w:rPr>
              <w:t>-</w:t>
            </w:r>
          </w:p>
        </w:tc>
        <w:tc>
          <w:tcPr>
            <w:tcW w:w="1140" w:type="dxa"/>
            <w:vAlign w:val="bottom"/>
            <w:hideMark/>
          </w:tcPr>
          <w:p w:rsidR="00243D31" w:rsidRDefault="00243D31">
            <w:pPr>
              <w:pStyle w:val="NormalnyWeb"/>
              <w:jc w:val="both"/>
            </w:pPr>
            <w:r>
              <w:rPr>
                <w:lang w:val="en-US"/>
              </w:rPr>
              <w:t>-</w:t>
            </w:r>
          </w:p>
        </w:tc>
        <w:tc>
          <w:tcPr>
            <w:tcW w:w="4125" w:type="dxa"/>
            <w:vAlign w:val="bottom"/>
            <w:hideMark/>
          </w:tcPr>
          <w:p w:rsidR="00243D31" w:rsidRDefault="00243D31">
            <w:pPr>
              <w:pStyle w:val="NormalnyWeb"/>
              <w:jc w:val="both"/>
            </w:pPr>
            <w:r>
              <w:rPr>
                <w:lang w:val="en-US"/>
              </w:rPr>
              <w:t>-</w:t>
            </w:r>
          </w:p>
        </w:tc>
      </w:tr>
      <w:tr w:rsidR="00243D31" w:rsidTr="00243D31">
        <w:trPr>
          <w:tblCellSpacing w:w="0" w:type="dxa"/>
        </w:trPr>
        <w:tc>
          <w:tcPr>
            <w:tcW w:w="1395" w:type="dxa"/>
            <w:vAlign w:val="bottom"/>
            <w:hideMark/>
          </w:tcPr>
          <w:p w:rsidR="00243D31" w:rsidRDefault="00243D31">
            <w:pPr>
              <w:pStyle w:val="NormalnyWeb"/>
              <w:jc w:val="both"/>
            </w:pPr>
            <w:proofErr w:type="spellStart"/>
            <w:r>
              <w:rPr>
                <w:rStyle w:val="Pogrubienie"/>
                <w:lang w:val="en-US"/>
              </w:rPr>
              <w:t>Nordea</w:t>
            </w:r>
            <w:proofErr w:type="spellEnd"/>
          </w:p>
        </w:tc>
        <w:tc>
          <w:tcPr>
            <w:tcW w:w="1995" w:type="dxa"/>
            <w:vAlign w:val="bottom"/>
            <w:hideMark/>
          </w:tcPr>
          <w:p w:rsidR="00243D31" w:rsidRDefault="00243D31">
            <w:pPr>
              <w:pStyle w:val="NormalnyWeb"/>
              <w:jc w:val="both"/>
            </w:pPr>
            <w:r>
              <w:rPr>
                <w:lang w:val="en-US"/>
              </w:rPr>
              <w:t xml:space="preserve">1 (w </w:t>
            </w:r>
            <w:proofErr w:type="spellStart"/>
            <w:r>
              <w:rPr>
                <w:lang w:val="en-US"/>
              </w:rPr>
              <w:t>roku</w:t>
            </w:r>
            <w:proofErr w:type="spellEnd"/>
            <w:r>
              <w:rPr>
                <w:lang w:val="en-US"/>
              </w:rPr>
              <w:t xml:space="preserve"> </w:t>
            </w:r>
            <w:proofErr w:type="spellStart"/>
            <w:r>
              <w:rPr>
                <w:lang w:val="en-US"/>
              </w:rPr>
              <w:t>kalendarzowym</w:t>
            </w:r>
            <w:proofErr w:type="spellEnd"/>
            <w:r>
              <w:rPr>
                <w:lang w:val="en-US"/>
              </w:rPr>
              <w:t xml:space="preserve">) </w:t>
            </w:r>
          </w:p>
        </w:tc>
        <w:tc>
          <w:tcPr>
            <w:tcW w:w="1170" w:type="dxa"/>
            <w:vAlign w:val="bottom"/>
            <w:hideMark/>
          </w:tcPr>
          <w:p w:rsidR="00243D31" w:rsidRDefault="00243D31">
            <w:pPr>
              <w:pStyle w:val="NormalnyWeb"/>
              <w:jc w:val="both"/>
            </w:pPr>
            <w:r>
              <w:rPr>
                <w:lang w:val="en-US"/>
              </w:rPr>
              <w:t>TAK</w:t>
            </w:r>
          </w:p>
        </w:tc>
        <w:tc>
          <w:tcPr>
            <w:tcW w:w="1140" w:type="dxa"/>
            <w:vAlign w:val="bottom"/>
            <w:hideMark/>
          </w:tcPr>
          <w:p w:rsidR="00243D31" w:rsidRDefault="00243D31">
            <w:pPr>
              <w:pStyle w:val="NormalnyWeb"/>
              <w:jc w:val="both"/>
            </w:pPr>
            <w:r>
              <w:rPr>
                <w:lang w:val="en-US"/>
              </w:rPr>
              <w:t>TAK</w:t>
            </w:r>
          </w:p>
        </w:tc>
        <w:tc>
          <w:tcPr>
            <w:tcW w:w="4125" w:type="dxa"/>
            <w:vAlign w:val="bottom"/>
            <w:hideMark/>
          </w:tcPr>
          <w:p w:rsidR="00243D31" w:rsidRDefault="00243D31">
            <w:pPr>
              <w:pStyle w:val="NormalnyWeb"/>
              <w:jc w:val="both"/>
            </w:pPr>
            <w:r>
              <w:t xml:space="preserve">Opuszczenie raty kapitałowo-odsetkowej może nastąpić pod warunkiem, iż dotychczasowa obsługa kredytu przebiega (w ocenia Banku) bez zastrzeżeń. Wniosek może być składany nie częściej niż co 12 miesięcy, licząc od daty złożenia przez Kredytobiorcę ostatniego wniosku o opuszczenie raty. Pozostała do spłaty kwota kredytu (powiększona o skapitalizowane </w:t>
            </w:r>
            <w:r>
              <w:lastRenderedPageBreak/>
              <w:t>odsetki), podlega ponownie rozliczeniu na pozostały okres kredytowania określony w umowie.</w:t>
            </w:r>
          </w:p>
        </w:tc>
      </w:tr>
      <w:tr w:rsidR="00243D31" w:rsidTr="00243D31">
        <w:trPr>
          <w:tblCellSpacing w:w="0" w:type="dxa"/>
        </w:trPr>
        <w:tc>
          <w:tcPr>
            <w:tcW w:w="1395" w:type="dxa"/>
            <w:vAlign w:val="bottom"/>
            <w:hideMark/>
          </w:tcPr>
          <w:p w:rsidR="00243D31" w:rsidRDefault="00243D31">
            <w:pPr>
              <w:pStyle w:val="NormalnyWeb"/>
              <w:jc w:val="both"/>
            </w:pPr>
            <w:proofErr w:type="spellStart"/>
            <w:r>
              <w:rPr>
                <w:rStyle w:val="Pogrubienie"/>
                <w:lang w:val="en-US"/>
              </w:rPr>
              <w:lastRenderedPageBreak/>
              <w:t>Nykredit</w:t>
            </w:r>
            <w:proofErr w:type="spellEnd"/>
          </w:p>
        </w:tc>
        <w:tc>
          <w:tcPr>
            <w:tcW w:w="1995" w:type="dxa"/>
            <w:vAlign w:val="bottom"/>
            <w:hideMark/>
          </w:tcPr>
          <w:p w:rsidR="00243D31" w:rsidRDefault="00243D31">
            <w:pPr>
              <w:pStyle w:val="NormalnyWeb"/>
              <w:jc w:val="both"/>
            </w:pPr>
            <w:proofErr w:type="spellStart"/>
            <w:r>
              <w:rPr>
                <w:lang w:val="en-US"/>
              </w:rPr>
              <w:t>brak</w:t>
            </w:r>
            <w:proofErr w:type="spellEnd"/>
          </w:p>
        </w:tc>
        <w:tc>
          <w:tcPr>
            <w:tcW w:w="1170" w:type="dxa"/>
            <w:vAlign w:val="bottom"/>
            <w:hideMark/>
          </w:tcPr>
          <w:p w:rsidR="00243D31" w:rsidRDefault="00243D31">
            <w:pPr>
              <w:pStyle w:val="NormalnyWeb"/>
              <w:jc w:val="both"/>
            </w:pPr>
            <w:r>
              <w:rPr>
                <w:lang w:val="en-US"/>
              </w:rPr>
              <w:t>-</w:t>
            </w:r>
          </w:p>
        </w:tc>
        <w:tc>
          <w:tcPr>
            <w:tcW w:w="1140" w:type="dxa"/>
            <w:vAlign w:val="bottom"/>
            <w:hideMark/>
          </w:tcPr>
          <w:p w:rsidR="00243D31" w:rsidRDefault="00243D31">
            <w:pPr>
              <w:pStyle w:val="NormalnyWeb"/>
              <w:jc w:val="both"/>
            </w:pPr>
            <w:r>
              <w:rPr>
                <w:lang w:val="en-US"/>
              </w:rPr>
              <w:t>-</w:t>
            </w:r>
          </w:p>
        </w:tc>
        <w:tc>
          <w:tcPr>
            <w:tcW w:w="4125" w:type="dxa"/>
            <w:vAlign w:val="bottom"/>
            <w:hideMark/>
          </w:tcPr>
          <w:p w:rsidR="00243D31" w:rsidRDefault="00243D31">
            <w:pPr>
              <w:pStyle w:val="NormalnyWeb"/>
              <w:jc w:val="both"/>
            </w:pPr>
            <w:r>
              <w:rPr>
                <w:lang w:val="en-US"/>
              </w:rPr>
              <w:t>-</w:t>
            </w:r>
          </w:p>
        </w:tc>
      </w:tr>
      <w:tr w:rsidR="00243D31" w:rsidTr="00243D31">
        <w:trPr>
          <w:tblCellSpacing w:w="0" w:type="dxa"/>
        </w:trPr>
        <w:tc>
          <w:tcPr>
            <w:tcW w:w="1395" w:type="dxa"/>
            <w:vAlign w:val="bottom"/>
            <w:hideMark/>
          </w:tcPr>
          <w:p w:rsidR="00243D31" w:rsidRDefault="00243D31">
            <w:pPr>
              <w:pStyle w:val="NormalnyWeb"/>
              <w:jc w:val="both"/>
            </w:pPr>
            <w:r>
              <w:rPr>
                <w:rStyle w:val="Pogrubienie"/>
                <w:lang w:val="en-US"/>
              </w:rPr>
              <w:t>PKO BP</w:t>
            </w:r>
          </w:p>
        </w:tc>
        <w:tc>
          <w:tcPr>
            <w:tcW w:w="1995" w:type="dxa"/>
            <w:vAlign w:val="bottom"/>
            <w:hideMark/>
          </w:tcPr>
          <w:p w:rsidR="00243D31" w:rsidRDefault="00243D31">
            <w:pPr>
              <w:pStyle w:val="NormalnyWeb"/>
              <w:jc w:val="both"/>
            </w:pPr>
            <w:r>
              <w:t>3 (w całym okresie spłaty kredytu)</w:t>
            </w:r>
          </w:p>
        </w:tc>
        <w:tc>
          <w:tcPr>
            <w:tcW w:w="1170" w:type="dxa"/>
            <w:vAlign w:val="bottom"/>
            <w:hideMark/>
          </w:tcPr>
          <w:p w:rsidR="00243D31" w:rsidRDefault="00243D31">
            <w:pPr>
              <w:pStyle w:val="NormalnyWeb"/>
              <w:jc w:val="both"/>
            </w:pPr>
            <w:r>
              <w:rPr>
                <w:lang w:val="en-US"/>
              </w:rPr>
              <w:t>TAK </w:t>
            </w:r>
          </w:p>
        </w:tc>
        <w:tc>
          <w:tcPr>
            <w:tcW w:w="1140" w:type="dxa"/>
            <w:vAlign w:val="bottom"/>
            <w:hideMark/>
          </w:tcPr>
          <w:p w:rsidR="00243D31" w:rsidRDefault="00243D31">
            <w:pPr>
              <w:pStyle w:val="NormalnyWeb"/>
              <w:jc w:val="both"/>
            </w:pPr>
            <w:r>
              <w:rPr>
                <w:lang w:val="en-US"/>
              </w:rPr>
              <w:t>TAK </w:t>
            </w:r>
          </w:p>
        </w:tc>
        <w:tc>
          <w:tcPr>
            <w:tcW w:w="4125" w:type="dxa"/>
            <w:vAlign w:val="bottom"/>
            <w:hideMark/>
          </w:tcPr>
          <w:p w:rsidR="00243D31" w:rsidRDefault="00243D31">
            <w:pPr>
              <w:pStyle w:val="NormalnyWeb"/>
              <w:jc w:val="both"/>
            </w:pPr>
            <w:r>
              <w:t>Raz w roku na okres jednego miesiąca - wystarczy wypełnić wniosek, 3 miesięczne wakacje - wymaga to aneksu do umowy.</w:t>
            </w:r>
          </w:p>
        </w:tc>
      </w:tr>
      <w:tr w:rsidR="00243D31" w:rsidTr="00243D31">
        <w:trPr>
          <w:tblCellSpacing w:w="0" w:type="dxa"/>
        </w:trPr>
        <w:tc>
          <w:tcPr>
            <w:tcW w:w="1395" w:type="dxa"/>
            <w:vAlign w:val="bottom"/>
            <w:hideMark/>
          </w:tcPr>
          <w:p w:rsidR="00243D31" w:rsidRDefault="00243D31">
            <w:pPr>
              <w:pStyle w:val="NormalnyWeb"/>
              <w:jc w:val="both"/>
            </w:pPr>
            <w:proofErr w:type="spellStart"/>
            <w:r>
              <w:rPr>
                <w:rStyle w:val="Pogrubienie"/>
                <w:lang w:val="en-US"/>
              </w:rPr>
              <w:t>Polbank</w:t>
            </w:r>
            <w:proofErr w:type="spellEnd"/>
          </w:p>
        </w:tc>
        <w:tc>
          <w:tcPr>
            <w:tcW w:w="1995" w:type="dxa"/>
            <w:vAlign w:val="bottom"/>
            <w:hideMark/>
          </w:tcPr>
          <w:p w:rsidR="00243D31" w:rsidRDefault="00243D31">
            <w:pPr>
              <w:pStyle w:val="NormalnyWeb"/>
              <w:jc w:val="both"/>
            </w:pPr>
            <w:r>
              <w:rPr>
                <w:lang w:val="en-US"/>
              </w:rPr>
              <w:t xml:space="preserve">1 </w:t>
            </w:r>
            <w:proofErr w:type="spellStart"/>
            <w:r>
              <w:rPr>
                <w:lang w:val="en-US"/>
              </w:rPr>
              <w:t>miesiąc</w:t>
            </w:r>
            <w:proofErr w:type="spellEnd"/>
            <w:r>
              <w:rPr>
                <w:lang w:val="en-US"/>
              </w:rPr>
              <w:t xml:space="preserve"> (</w:t>
            </w:r>
            <w:proofErr w:type="spellStart"/>
            <w:r>
              <w:rPr>
                <w:lang w:val="en-US"/>
              </w:rPr>
              <w:t>raz</w:t>
            </w:r>
            <w:proofErr w:type="spellEnd"/>
            <w:r>
              <w:rPr>
                <w:lang w:val="en-US"/>
              </w:rPr>
              <w:t xml:space="preserve"> w </w:t>
            </w:r>
            <w:proofErr w:type="spellStart"/>
            <w:r>
              <w:rPr>
                <w:lang w:val="en-US"/>
              </w:rPr>
              <w:t>roku</w:t>
            </w:r>
            <w:proofErr w:type="spellEnd"/>
            <w:r>
              <w:rPr>
                <w:lang w:val="en-US"/>
              </w:rPr>
              <w:t>)</w:t>
            </w:r>
          </w:p>
        </w:tc>
        <w:tc>
          <w:tcPr>
            <w:tcW w:w="1170" w:type="dxa"/>
            <w:vAlign w:val="bottom"/>
            <w:hideMark/>
          </w:tcPr>
          <w:p w:rsidR="00243D31" w:rsidRDefault="00243D31">
            <w:pPr>
              <w:pStyle w:val="NormalnyWeb"/>
              <w:jc w:val="both"/>
            </w:pPr>
            <w:r>
              <w:rPr>
                <w:lang w:val="en-US"/>
              </w:rPr>
              <w:t>TAK</w:t>
            </w:r>
          </w:p>
        </w:tc>
        <w:tc>
          <w:tcPr>
            <w:tcW w:w="1140" w:type="dxa"/>
            <w:vAlign w:val="bottom"/>
            <w:hideMark/>
          </w:tcPr>
          <w:p w:rsidR="00243D31" w:rsidRDefault="00243D31">
            <w:pPr>
              <w:pStyle w:val="NormalnyWeb"/>
              <w:jc w:val="both"/>
            </w:pPr>
            <w:r>
              <w:rPr>
                <w:lang w:val="en-US"/>
              </w:rPr>
              <w:t>TAK</w:t>
            </w:r>
          </w:p>
        </w:tc>
        <w:tc>
          <w:tcPr>
            <w:tcW w:w="4125" w:type="dxa"/>
            <w:vAlign w:val="bottom"/>
            <w:hideMark/>
          </w:tcPr>
          <w:p w:rsidR="00243D31" w:rsidRDefault="00243D31">
            <w:pPr>
              <w:pStyle w:val="NormalnyWeb"/>
              <w:jc w:val="both"/>
            </w:pPr>
            <w:r>
              <w:t>Opcja może być stosowana po 12 miesiącach prawidłowej obsługi kredytu (w przypadku kredytu z okresem karencji po 12 miesiącach od zakończenia tego okresu).</w:t>
            </w:r>
          </w:p>
        </w:tc>
      </w:tr>
      <w:tr w:rsidR="00243D31" w:rsidTr="00243D31">
        <w:trPr>
          <w:tblCellSpacing w:w="0" w:type="dxa"/>
        </w:trPr>
        <w:tc>
          <w:tcPr>
            <w:tcW w:w="1395" w:type="dxa"/>
            <w:vAlign w:val="bottom"/>
            <w:hideMark/>
          </w:tcPr>
          <w:p w:rsidR="00243D31" w:rsidRDefault="00243D31">
            <w:pPr>
              <w:pStyle w:val="NormalnyWeb"/>
              <w:jc w:val="both"/>
            </w:pPr>
            <w:r>
              <w:rPr>
                <w:rStyle w:val="Pogrubienie"/>
                <w:lang w:val="en-US"/>
              </w:rPr>
              <w:t>Santander</w:t>
            </w:r>
          </w:p>
        </w:tc>
        <w:tc>
          <w:tcPr>
            <w:tcW w:w="1995" w:type="dxa"/>
            <w:vAlign w:val="bottom"/>
            <w:hideMark/>
          </w:tcPr>
          <w:p w:rsidR="00243D31" w:rsidRDefault="00243D31">
            <w:pPr>
              <w:pStyle w:val="NormalnyWeb"/>
              <w:jc w:val="both"/>
            </w:pPr>
            <w:proofErr w:type="spellStart"/>
            <w:r>
              <w:rPr>
                <w:lang w:val="en-US"/>
              </w:rPr>
              <w:t>brak</w:t>
            </w:r>
            <w:proofErr w:type="spellEnd"/>
          </w:p>
        </w:tc>
        <w:tc>
          <w:tcPr>
            <w:tcW w:w="1170" w:type="dxa"/>
            <w:vAlign w:val="bottom"/>
            <w:hideMark/>
          </w:tcPr>
          <w:p w:rsidR="00243D31" w:rsidRDefault="00243D31">
            <w:pPr>
              <w:pStyle w:val="NormalnyWeb"/>
              <w:jc w:val="both"/>
            </w:pPr>
            <w:r>
              <w:rPr>
                <w:lang w:val="en-US"/>
              </w:rPr>
              <w:t>-</w:t>
            </w:r>
          </w:p>
        </w:tc>
        <w:tc>
          <w:tcPr>
            <w:tcW w:w="1140" w:type="dxa"/>
            <w:vAlign w:val="bottom"/>
            <w:hideMark/>
          </w:tcPr>
          <w:p w:rsidR="00243D31" w:rsidRDefault="00243D31">
            <w:pPr>
              <w:pStyle w:val="NormalnyWeb"/>
              <w:jc w:val="both"/>
            </w:pPr>
            <w:r>
              <w:rPr>
                <w:lang w:val="en-US"/>
              </w:rPr>
              <w:t>-</w:t>
            </w:r>
          </w:p>
        </w:tc>
        <w:tc>
          <w:tcPr>
            <w:tcW w:w="4125" w:type="dxa"/>
            <w:vAlign w:val="bottom"/>
            <w:hideMark/>
          </w:tcPr>
          <w:p w:rsidR="00243D31" w:rsidRDefault="00243D31">
            <w:pPr>
              <w:pStyle w:val="NormalnyWeb"/>
              <w:jc w:val="both"/>
            </w:pPr>
            <w:r>
              <w:t xml:space="preserve">Brak typowych wakacji kredytowych, ale za indywidualną zgodą Banku można ubiegać się o prolongatę w spłacie kapitału na </w:t>
            </w:r>
            <w:proofErr w:type="spellStart"/>
            <w:r>
              <w:t>max</w:t>
            </w:r>
            <w:proofErr w:type="spellEnd"/>
            <w:r>
              <w:t>. okres 6M.</w:t>
            </w:r>
          </w:p>
        </w:tc>
      </w:tr>
    </w:tbl>
    <w:p w:rsidR="00243D31" w:rsidRDefault="00243D31" w:rsidP="00243D31">
      <w:pPr>
        <w:pStyle w:val="NormalnyWeb"/>
        <w:jc w:val="both"/>
        <w:rPr>
          <w:rStyle w:val="Uwydatnienie"/>
        </w:rPr>
      </w:pPr>
      <w:r w:rsidRPr="00243D31">
        <w:rPr>
          <w:rStyle w:val="Uwydatnienie"/>
        </w:rPr>
        <w:t>Źródło: banki</w:t>
      </w:r>
    </w:p>
    <w:p w:rsidR="00DD607A" w:rsidRDefault="00DD607A" w:rsidP="00243D31">
      <w:pPr>
        <w:pStyle w:val="NormalnyWeb"/>
        <w:jc w:val="both"/>
      </w:pPr>
    </w:p>
    <w:p w:rsidR="00DD607A" w:rsidRDefault="00243D31" w:rsidP="00DD607A">
      <w:pPr>
        <w:pStyle w:val="NormalnyWeb"/>
        <w:jc w:val="both"/>
      </w:pPr>
      <w:r>
        <w:rPr>
          <w:rStyle w:val="Pogrubienie"/>
        </w:rPr>
        <w:t xml:space="preserve">Oferta ubezpieczeń od utraty pracy (dla kredytów hipotecznych) w bankach współpracujących z </w:t>
      </w:r>
      <w:proofErr w:type="spellStart"/>
      <w:r>
        <w:rPr>
          <w:rStyle w:val="Pogrubienie"/>
        </w:rPr>
        <w:t>Expander</w:t>
      </w:r>
      <w:proofErr w:type="spellEnd"/>
    </w:p>
    <w:tbl>
      <w:tblPr>
        <w:tblW w:w="0" w:type="auto"/>
        <w:tblCellSpacing w:w="0" w:type="dxa"/>
        <w:tblCellMar>
          <w:left w:w="0" w:type="dxa"/>
          <w:right w:w="0" w:type="dxa"/>
        </w:tblCellMar>
        <w:tblLook w:val="04A0"/>
      </w:tblPr>
      <w:tblGrid>
        <w:gridCol w:w="2147"/>
        <w:gridCol w:w="3782"/>
        <w:gridCol w:w="3143"/>
      </w:tblGrid>
      <w:tr w:rsidR="00243D31" w:rsidTr="00243D31">
        <w:trPr>
          <w:tblCellSpacing w:w="0" w:type="dxa"/>
        </w:trPr>
        <w:tc>
          <w:tcPr>
            <w:tcW w:w="2220" w:type="dxa"/>
            <w:vMerge w:val="restart"/>
            <w:vAlign w:val="center"/>
            <w:hideMark/>
          </w:tcPr>
          <w:p w:rsidR="00243D31" w:rsidRDefault="00243D31">
            <w:pPr>
              <w:pStyle w:val="NormalnyWeb"/>
              <w:jc w:val="center"/>
            </w:pPr>
            <w:proofErr w:type="spellStart"/>
            <w:r>
              <w:rPr>
                <w:rStyle w:val="Pogrubienie"/>
                <w:lang w:val="en-US"/>
              </w:rPr>
              <w:t>Nazwa</w:t>
            </w:r>
            <w:proofErr w:type="spellEnd"/>
            <w:r>
              <w:rPr>
                <w:rStyle w:val="Pogrubienie"/>
                <w:lang w:val="en-US"/>
              </w:rPr>
              <w:t xml:space="preserve"> </w:t>
            </w:r>
            <w:proofErr w:type="spellStart"/>
            <w:r>
              <w:rPr>
                <w:rStyle w:val="Pogrubienie"/>
                <w:lang w:val="en-US"/>
              </w:rPr>
              <w:t>banku</w:t>
            </w:r>
            <w:proofErr w:type="spellEnd"/>
          </w:p>
        </w:tc>
        <w:tc>
          <w:tcPr>
            <w:tcW w:w="7155" w:type="dxa"/>
            <w:gridSpan w:val="2"/>
            <w:vAlign w:val="center"/>
            <w:hideMark/>
          </w:tcPr>
          <w:p w:rsidR="00243D31" w:rsidRDefault="00243D31">
            <w:pPr>
              <w:pStyle w:val="NormalnyWeb"/>
              <w:jc w:val="center"/>
            </w:pPr>
            <w:r>
              <w:rPr>
                <w:rStyle w:val="Pogrubienie"/>
                <w:lang w:val="en-US"/>
              </w:rPr>
              <w:t>UBEZPIECZENIE OD UTRATY PRACY</w:t>
            </w:r>
          </w:p>
        </w:tc>
      </w:tr>
      <w:tr w:rsidR="00243D31" w:rsidTr="00243D31">
        <w:trPr>
          <w:tblCellSpacing w:w="0" w:type="dxa"/>
        </w:trPr>
        <w:tc>
          <w:tcPr>
            <w:tcW w:w="0" w:type="auto"/>
            <w:vMerge/>
            <w:vAlign w:val="center"/>
            <w:hideMark/>
          </w:tcPr>
          <w:p w:rsidR="00243D31" w:rsidRDefault="00243D31">
            <w:pPr>
              <w:rPr>
                <w:rFonts w:ascii="Arial" w:hAnsi="Arial" w:cs="Arial"/>
                <w:color w:val="666666"/>
                <w:sz w:val="18"/>
                <w:szCs w:val="18"/>
              </w:rPr>
            </w:pPr>
          </w:p>
        </w:tc>
        <w:tc>
          <w:tcPr>
            <w:tcW w:w="3915" w:type="dxa"/>
            <w:vAlign w:val="center"/>
            <w:hideMark/>
          </w:tcPr>
          <w:p w:rsidR="00243D31" w:rsidRDefault="00243D31">
            <w:pPr>
              <w:pStyle w:val="NormalnyWeb"/>
              <w:jc w:val="center"/>
            </w:pPr>
            <w:r>
              <w:rPr>
                <w:rStyle w:val="Pogrubienie"/>
              </w:rPr>
              <w:t>Czy ubezpieczenie jest obowiązkowe? Jeśli rezygnacja z ubezpieczenia oznacza gorsze parametry kredytu proszę o ich opisanie.</w:t>
            </w:r>
          </w:p>
        </w:tc>
        <w:tc>
          <w:tcPr>
            <w:tcW w:w="3255" w:type="dxa"/>
            <w:vAlign w:val="center"/>
            <w:hideMark/>
          </w:tcPr>
          <w:p w:rsidR="00243D31" w:rsidRDefault="00243D31">
            <w:pPr>
              <w:pStyle w:val="NormalnyWeb"/>
              <w:jc w:val="center"/>
            </w:pPr>
            <w:proofErr w:type="spellStart"/>
            <w:r>
              <w:rPr>
                <w:rStyle w:val="Pogrubienie"/>
                <w:lang w:val="en-US"/>
              </w:rPr>
              <w:t>Koszt</w:t>
            </w:r>
            <w:proofErr w:type="spellEnd"/>
            <w:r>
              <w:rPr>
                <w:rStyle w:val="Pogrubienie"/>
                <w:lang w:val="en-US"/>
              </w:rPr>
              <w:t xml:space="preserve"> </w:t>
            </w:r>
            <w:proofErr w:type="spellStart"/>
            <w:r>
              <w:rPr>
                <w:rStyle w:val="Pogrubienie"/>
                <w:lang w:val="en-US"/>
              </w:rPr>
              <w:t>ubezpieczenia</w:t>
            </w:r>
            <w:proofErr w:type="spellEnd"/>
          </w:p>
        </w:tc>
      </w:tr>
      <w:tr w:rsidR="00243D31" w:rsidTr="00243D31">
        <w:trPr>
          <w:tblCellSpacing w:w="0" w:type="dxa"/>
        </w:trPr>
        <w:tc>
          <w:tcPr>
            <w:tcW w:w="2220" w:type="dxa"/>
            <w:vAlign w:val="center"/>
            <w:hideMark/>
          </w:tcPr>
          <w:p w:rsidR="00243D31" w:rsidRDefault="00243D31">
            <w:pPr>
              <w:pStyle w:val="NormalnyWeb"/>
            </w:pPr>
            <w:proofErr w:type="spellStart"/>
            <w:r>
              <w:rPr>
                <w:rStyle w:val="Pogrubienie"/>
                <w:lang w:val="en-US"/>
              </w:rPr>
              <w:t>Pocztowy</w:t>
            </w:r>
            <w:proofErr w:type="spellEnd"/>
          </w:p>
        </w:tc>
        <w:tc>
          <w:tcPr>
            <w:tcW w:w="3915" w:type="dxa"/>
            <w:vAlign w:val="center"/>
            <w:hideMark/>
          </w:tcPr>
          <w:p w:rsidR="00243D31" w:rsidRDefault="00243D31">
            <w:pPr>
              <w:pStyle w:val="NormalnyWeb"/>
            </w:pPr>
            <w:proofErr w:type="spellStart"/>
            <w:r>
              <w:rPr>
                <w:lang w:val="en-US"/>
              </w:rPr>
              <w:t>Brak</w:t>
            </w:r>
            <w:proofErr w:type="spellEnd"/>
          </w:p>
        </w:tc>
        <w:tc>
          <w:tcPr>
            <w:tcW w:w="3255" w:type="dxa"/>
            <w:vAlign w:val="center"/>
            <w:hideMark/>
          </w:tcPr>
          <w:p w:rsidR="00243D31" w:rsidRDefault="00243D31">
            <w:pPr>
              <w:pStyle w:val="NormalnyWeb"/>
            </w:pPr>
            <w:r>
              <w:rPr>
                <w:lang w:val="en-US"/>
              </w:rPr>
              <w:t>-</w:t>
            </w:r>
          </w:p>
        </w:tc>
      </w:tr>
      <w:tr w:rsidR="00243D31" w:rsidTr="00243D31">
        <w:trPr>
          <w:tblCellSpacing w:w="0" w:type="dxa"/>
        </w:trPr>
        <w:tc>
          <w:tcPr>
            <w:tcW w:w="2220" w:type="dxa"/>
            <w:vAlign w:val="center"/>
            <w:hideMark/>
          </w:tcPr>
          <w:p w:rsidR="00243D31" w:rsidRDefault="00243D31">
            <w:pPr>
              <w:pStyle w:val="NormalnyWeb"/>
            </w:pPr>
            <w:r>
              <w:rPr>
                <w:rStyle w:val="Pogrubienie"/>
                <w:lang w:val="en-US"/>
              </w:rPr>
              <w:t>BGŻ</w:t>
            </w:r>
          </w:p>
        </w:tc>
        <w:tc>
          <w:tcPr>
            <w:tcW w:w="3915" w:type="dxa"/>
            <w:vAlign w:val="center"/>
            <w:hideMark/>
          </w:tcPr>
          <w:p w:rsidR="00243D31" w:rsidRDefault="00243D31">
            <w:pPr>
              <w:pStyle w:val="NormalnyWeb"/>
            </w:pPr>
            <w:proofErr w:type="spellStart"/>
            <w:r>
              <w:rPr>
                <w:lang w:val="en-US"/>
              </w:rPr>
              <w:t>Nieobowiązkowe</w:t>
            </w:r>
            <w:proofErr w:type="spellEnd"/>
          </w:p>
        </w:tc>
        <w:tc>
          <w:tcPr>
            <w:tcW w:w="3255" w:type="dxa"/>
            <w:vAlign w:val="center"/>
            <w:hideMark/>
          </w:tcPr>
          <w:p w:rsidR="00243D31" w:rsidRDefault="00243D31">
            <w:pPr>
              <w:pStyle w:val="NormalnyWeb"/>
            </w:pPr>
            <w:r>
              <w:t>0,9% w skali roku od salda zadłużenia i pobierana jest wraz z ratą kredytu.</w:t>
            </w:r>
          </w:p>
        </w:tc>
      </w:tr>
      <w:tr w:rsidR="00243D31" w:rsidTr="00243D31">
        <w:trPr>
          <w:tblCellSpacing w:w="0" w:type="dxa"/>
        </w:trPr>
        <w:tc>
          <w:tcPr>
            <w:tcW w:w="2220" w:type="dxa"/>
            <w:vAlign w:val="center"/>
            <w:hideMark/>
          </w:tcPr>
          <w:p w:rsidR="00243D31" w:rsidRDefault="00243D31">
            <w:pPr>
              <w:pStyle w:val="NormalnyWeb"/>
            </w:pPr>
            <w:r>
              <w:rPr>
                <w:rStyle w:val="Pogrubienie"/>
                <w:lang w:val="en-US"/>
              </w:rPr>
              <w:t>BOŚ</w:t>
            </w:r>
          </w:p>
        </w:tc>
        <w:tc>
          <w:tcPr>
            <w:tcW w:w="3915" w:type="dxa"/>
            <w:vAlign w:val="center"/>
            <w:hideMark/>
          </w:tcPr>
          <w:p w:rsidR="00243D31" w:rsidRDefault="00243D31">
            <w:pPr>
              <w:pStyle w:val="NormalnyWeb"/>
            </w:pPr>
            <w:proofErr w:type="spellStart"/>
            <w:r>
              <w:rPr>
                <w:lang w:val="en-US"/>
              </w:rPr>
              <w:t>Brak</w:t>
            </w:r>
            <w:proofErr w:type="spellEnd"/>
          </w:p>
        </w:tc>
        <w:tc>
          <w:tcPr>
            <w:tcW w:w="3255" w:type="dxa"/>
            <w:vAlign w:val="center"/>
            <w:hideMark/>
          </w:tcPr>
          <w:p w:rsidR="00243D31" w:rsidRDefault="00243D31">
            <w:pPr>
              <w:pStyle w:val="NormalnyWeb"/>
            </w:pPr>
            <w:r>
              <w:rPr>
                <w:lang w:val="en-US"/>
              </w:rPr>
              <w:t>-</w:t>
            </w:r>
          </w:p>
        </w:tc>
      </w:tr>
      <w:tr w:rsidR="00243D31" w:rsidTr="00243D31">
        <w:trPr>
          <w:tblCellSpacing w:w="0" w:type="dxa"/>
        </w:trPr>
        <w:tc>
          <w:tcPr>
            <w:tcW w:w="2220" w:type="dxa"/>
            <w:vAlign w:val="center"/>
            <w:hideMark/>
          </w:tcPr>
          <w:p w:rsidR="00243D31" w:rsidRDefault="00243D31">
            <w:pPr>
              <w:pStyle w:val="NormalnyWeb"/>
            </w:pPr>
            <w:r>
              <w:rPr>
                <w:rStyle w:val="Pogrubienie"/>
                <w:lang w:val="en-US"/>
              </w:rPr>
              <w:t>Dom Bank</w:t>
            </w:r>
          </w:p>
        </w:tc>
        <w:tc>
          <w:tcPr>
            <w:tcW w:w="3915" w:type="dxa"/>
            <w:vAlign w:val="center"/>
            <w:hideMark/>
          </w:tcPr>
          <w:p w:rsidR="00243D31" w:rsidRDefault="00243D31">
            <w:pPr>
              <w:pStyle w:val="NormalnyWeb"/>
            </w:pPr>
            <w:proofErr w:type="spellStart"/>
            <w:r>
              <w:rPr>
                <w:lang w:val="en-US"/>
              </w:rPr>
              <w:t>Nieobowiązkowe</w:t>
            </w:r>
            <w:proofErr w:type="spellEnd"/>
          </w:p>
        </w:tc>
        <w:tc>
          <w:tcPr>
            <w:tcW w:w="3255" w:type="dxa"/>
            <w:vAlign w:val="center"/>
            <w:hideMark/>
          </w:tcPr>
          <w:p w:rsidR="00243D31" w:rsidRDefault="00243D31">
            <w:pPr>
              <w:pStyle w:val="NormalnyWeb"/>
            </w:pPr>
            <w:proofErr w:type="spellStart"/>
            <w:r>
              <w:rPr>
                <w:lang w:val="en-US"/>
              </w:rPr>
              <w:t>Składka</w:t>
            </w:r>
            <w:proofErr w:type="spellEnd"/>
            <w:r>
              <w:rPr>
                <w:lang w:val="en-US"/>
              </w:rPr>
              <w:t xml:space="preserve"> </w:t>
            </w:r>
            <w:proofErr w:type="spellStart"/>
            <w:r>
              <w:rPr>
                <w:lang w:val="en-US"/>
              </w:rPr>
              <w:t>roczna</w:t>
            </w:r>
            <w:proofErr w:type="spellEnd"/>
            <w:r>
              <w:rPr>
                <w:lang w:val="en-US"/>
              </w:rPr>
              <w:t xml:space="preserve"> - 1,5% </w:t>
            </w:r>
            <w:proofErr w:type="spellStart"/>
            <w:r>
              <w:rPr>
                <w:lang w:val="en-US"/>
              </w:rPr>
              <w:t>kwoty</w:t>
            </w:r>
            <w:proofErr w:type="spellEnd"/>
            <w:r>
              <w:rPr>
                <w:lang w:val="en-US"/>
              </w:rPr>
              <w:t xml:space="preserve"> </w:t>
            </w:r>
            <w:proofErr w:type="spellStart"/>
            <w:r>
              <w:rPr>
                <w:lang w:val="en-US"/>
              </w:rPr>
              <w:t>kredytu</w:t>
            </w:r>
            <w:proofErr w:type="spellEnd"/>
          </w:p>
        </w:tc>
      </w:tr>
      <w:tr w:rsidR="00243D31" w:rsidTr="00243D31">
        <w:trPr>
          <w:tblCellSpacing w:w="0" w:type="dxa"/>
        </w:trPr>
        <w:tc>
          <w:tcPr>
            <w:tcW w:w="2220" w:type="dxa"/>
            <w:vAlign w:val="center"/>
            <w:hideMark/>
          </w:tcPr>
          <w:p w:rsidR="00243D31" w:rsidRDefault="00243D31">
            <w:pPr>
              <w:pStyle w:val="NormalnyWeb"/>
            </w:pPr>
            <w:r>
              <w:rPr>
                <w:rStyle w:val="Pogrubienie"/>
                <w:lang w:val="en-US"/>
              </w:rPr>
              <w:t>Deutsche Bank</w:t>
            </w:r>
          </w:p>
        </w:tc>
        <w:tc>
          <w:tcPr>
            <w:tcW w:w="3915" w:type="dxa"/>
            <w:vAlign w:val="center"/>
            <w:hideMark/>
          </w:tcPr>
          <w:p w:rsidR="00243D31" w:rsidRDefault="00243D31">
            <w:pPr>
              <w:pStyle w:val="NormalnyWeb"/>
            </w:pPr>
            <w:proofErr w:type="spellStart"/>
            <w:r>
              <w:rPr>
                <w:lang w:val="en-US"/>
              </w:rPr>
              <w:t>Nieobowiązkowe</w:t>
            </w:r>
            <w:proofErr w:type="spellEnd"/>
          </w:p>
        </w:tc>
        <w:tc>
          <w:tcPr>
            <w:tcW w:w="3255" w:type="dxa"/>
            <w:vAlign w:val="center"/>
            <w:hideMark/>
          </w:tcPr>
          <w:p w:rsidR="00243D31" w:rsidRDefault="00243D31">
            <w:pPr>
              <w:pStyle w:val="NormalnyWeb"/>
            </w:pPr>
            <w:r>
              <w:rPr>
                <w:lang w:val="en-US"/>
              </w:rPr>
              <w:t>-</w:t>
            </w:r>
          </w:p>
        </w:tc>
      </w:tr>
      <w:tr w:rsidR="00243D31" w:rsidTr="00243D31">
        <w:trPr>
          <w:tblCellSpacing w:w="0" w:type="dxa"/>
        </w:trPr>
        <w:tc>
          <w:tcPr>
            <w:tcW w:w="2220" w:type="dxa"/>
            <w:vAlign w:val="center"/>
            <w:hideMark/>
          </w:tcPr>
          <w:p w:rsidR="00243D31" w:rsidRDefault="00243D31">
            <w:pPr>
              <w:pStyle w:val="NormalnyWeb"/>
            </w:pPr>
            <w:proofErr w:type="spellStart"/>
            <w:r>
              <w:rPr>
                <w:rStyle w:val="Pogrubienie"/>
                <w:lang w:val="en-US"/>
              </w:rPr>
              <w:t>Dominet</w:t>
            </w:r>
            <w:proofErr w:type="spellEnd"/>
          </w:p>
        </w:tc>
        <w:tc>
          <w:tcPr>
            <w:tcW w:w="3915" w:type="dxa"/>
            <w:vAlign w:val="center"/>
            <w:hideMark/>
          </w:tcPr>
          <w:p w:rsidR="00243D31" w:rsidRDefault="00243D31">
            <w:pPr>
              <w:pStyle w:val="NormalnyWeb"/>
            </w:pPr>
            <w:r>
              <w:t xml:space="preserve">Ubezpieczenie nie jest obowiązkowe. Przystąpienie do ubezpieczenia powoduje obniżenie marży Banku w stosunku do marży standardowej. </w:t>
            </w:r>
          </w:p>
        </w:tc>
        <w:tc>
          <w:tcPr>
            <w:tcW w:w="3255" w:type="dxa"/>
            <w:vAlign w:val="center"/>
            <w:hideMark/>
          </w:tcPr>
          <w:p w:rsidR="00243D31" w:rsidRDefault="00243D31">
            <w:pPr>
              <w:pStyle w:val="NormalnyWeb"/>
            </w:pPr>
            <w:r>
              <w:t xml:space="preserve">Stawka jest uzależniona od okresu ubezpieczenia 60 lub 36 </w:t>
            </w:r>
            <w:proofErr w:type="spellStart"/>
            <w:r>
              <w:t>m-cy</w:t>
            </w:r>
            <w:proofErr w:type="spellEnd"/>
            <w:r>
              <w:t xml:space="preserve">. Stawki dla okresu 60 </w:t>
            </w:r>
            <w:proofErr w:type="spellStart"/>
            <w:r>
              <w:t>m-cy</w:t>
            </w:r>
            <w:proofErr w:type="spellEnd"/>
            <w:r>
              <w:t xml:space="preserve"> od 3,5% do 3,3% kwoty przyznanego kredytu, dla okresu          36 </w:t>
            </w:r>
            <w:proofErr w:type="spellStart"/>
            <w:r>
              <w:t>m-cy</w:t>
            </w:r>
            <w:proofErr w:type="spellEnd"/>
            <w:r>
              <w:t xml:space="preserve"> od 2,5% do 2,3% od kwoty przyznanego kredytu. </w:t>
            </w:r>
            <w:proofErr w:type="spellStart"/>
            <w:r>
              <w:rPr>
                <w:lang w:val="en-US"/>
              </w:rPr>
              <w:t>Istnieje</w:t>
            </w:r>
            <w:proofErr w:type="spellEnd"/>
            <w:r>
              <w:rPr>
                <w:lang w:val="en-US"/>
              </w:rPr>
              <w:t xml:space="preserve"> </w:t>
            </w:r>
            <w:proofErr w:type="spellStart"/>
            <w:r>
              <w:rPr>
                <w:lang w:val="en-US"/>
              </w:rPr>
              <w:t>możliwość</w:t>
            </w:r>
            <w:proofErr w:type="spellEnd"/>
            <w:r>
              <w:rPr>
                <w:lang w:val="en-US"/>
              </w:rPr>
              <w:t xml:space="preserve"> </w:t>
            </w:r>
            <w:proofErr w:type="spellStart"/>
            <w:r>
              <w:rPr>
                <w:lang w:val="en-US"/>
              </w:rPr>
              <w:t>kontynuacji</w:t>
            </w:r>
            <w:proofErr w:type="spellEnd"/>
            <w:r>
              <w:rPr>
                <w:lang w:val="en-US"/>
              </w:rPr>
              <w:t xml:space="preserve">, </w:t>
            </w:r>
            <w:proofErr w:type="spellStart"/>
            <w:r>
              <w:rPr>
                <w:lang w:val="en-US"/>
              </w:rPr>
              <w:t>składka</w:t>
            </w:r>
            <w:proofErr w:type="spellEnd"/>
            <w:r>
              <w:rPr>
                <w:lang w:val="en-US"/>
              </w:rPr>
              <w:t xml:space="preserve"> </w:t>
            </w:r>
            <w:proofErr w:type="spellStart"/>
            <w:r>
              <w:rPr>
                <w:lang w:val="en-US"/>
              </w:rPr>
              <w:t>za</w:t>
            </w:r>
            <w:proofErr w:type="spellEnd"/>
            <w:r>
              <w:rPr>
                <w:lang w:val="en-US"/>
              </w:rPr>
              <w:t xml:space="preserve"> 12 m-cy </w:t>
            </w:r>
            <w:proofErr w:type="spellStart"/>
            <w:r>
              <w:rPr>
                <w:lang w:val="en-US"/>
              </w:rPr>
              <w:t>od</w:t>
            </w:r>
            <w:proofErr w:type="spellEnd"/>
            <w:r>
              <w:rPr>
                <w:lang w:val="en-US"/>
              </w:rPr>
              <w:t xml:space="preserve"> 0,8% do 0,7%</w:t>
            </w:r>
          </w:p>
        </w:tc>
      </w:tr>
      <w:tr w:rsidR="00243D31" w:rsidTr="00243D31">
        <w:trPr>
          <w:tblCellSpacing w:w="0" w:type="dxa"/>
        </w:trPr>
        <w:tc>
          <w:tcPr>
            <w:tcW w:w="2220" w:type="dxa"/>
            <w:vAlign w:val="center"/>
            <w:hideMark/>
          </w:tcPr>
          <w:p w:rsidR="00243D31" w:rsidRDefault="00243D31">
            <w:pPr>
              <w:pStyle w:val="NormalnyWeb"/>
            </w:pPr>
            <w:proofErr w:type="spellStart"/>
            <w:r>
              <w:rPr>
                <w:rStyle w:val="Pogrubienie"/>
                <w:lang w:val="en-US"/>
              </w:rPr>
              <w:t>Eurobank</w:t>
            </w:r>
            <w:proofErr w:type="spellEnd"/>
          </w:p>
        </w:tc>
        <w:tc>
          <w:tcPr>
            <w:tcW w:w="3915" w:type="dxa"/>
            <w:vAlign w:val="center"/>
            <w:hideMark/>
          </w:tcPr>
          <w:p w:rsidR="00243D31" w:rsidRDefault="00243D31">
            <w:pPr>
              <w:pStyle w:val="NormalnyWeb"/>
            </w:pPr>
            <w:proofErr w:type="spellStart"/>
            <w:r>
              <w:rPr>
                <w:lang w:val="en-US"/>
              </w:rPr>
              <w:t>Brak</w:t>
            </w:r>
            <w:proofErr w:type="spellEnd"/>
          </w:p>
        </w:tc>
        <w:tc>
          <w:tcPr>
            <w:tcW w:w="3255" w:type="dxa"/>
            <w:vAlign w:val="center"/>
            <w:hideMark/>
          </w:tcPr>
          <w:p w:rsidR="00243D31" w:rsidRDefault="00243D31">
            <w:pPr>
              <w:pStyle w:val="NormalnyWeb"/>
            </w:pPr>
            <w:r>
              <w:rPr>
                <w:lang w:val="en-US"/>
              </w:rPr>
              <w:t>-</w:t>
            </w:r>
          </w:p>
        </w:tc>
      </w:tr>
      <w:tr w:rsidR="00243D31" w:rsidTr="00243D31">
        <w:trPr>
          <w:tblCellSpacing w:w="0" w:type="dxa"/>
        </w:trPr>
        <w:tc>
          <w:tcPr>
            <w:tcW w:w="2220" w:type="dxa"/>
            <w:vAlign w:val="center"/>
            <w:hideMark/>
          </w:tcPr>
          <w:p w:rsidR="00243D31" w:rsidRDefault="00243D31">
            <w:pPr>
              <w:pStyle w:val="NormalnyWeb"/>
            </w:pPr>
            <w:r>
              <w:rPr>
                <w:rStyle w:val="Pogrubienie"/>
                <w:lang w:val="en-US"/>
              </w:rPr>
              <w:t>Fortis</w:t>
            </w:r>
          </w:p>
        </w:tc>
        <w:tc>
          <w:tcPr>
            <w:tcW w:w="3915" w:type="dxa"/>
            <w:vAlign w:val="center"/>
            <w:hideMark/>
          </w:tcPr>
          <w:p w:rsidR="00243D31" w:rsidRDefault="00243D31">
            <w:pPr>
              <w:pStyle w:val="NormalnyWeb"/>
            </w:pPr>
            <w:proofErr w:type="spellStart"/>
            <w:r>
              <w:rPr>
                <w:lang w:val="en-US"/>
              </w:rPr>
              <w:t>Brak</w:t>
            </w:r>
            <w:proofErr w:type="spellEnd"/>
          </w:p>
        </w:tc>
        <w:tc>
          <w:tcPr>
            <w:tcW w:w="3255" w:type="dxa"/>
            <w:vAlign w:val="center"/>
            <w:hideMark/>
          </w:tcPr>
          <w:p w:rsidR="00243D31" w:rsidRDefault="00243D31">
            <w:pPr>
              <w:pStyle w:val="NormalnyWeb"/>
            </w:pPr>
            <w:r>
              <w:rPr>
                <w:lang w:val="en-US"/>
              </w:rPr>
              <w:t>-</w:t>
            </w:r>
          </w:p>
        </w:tc>
      </w:tr>
      <w:tr w:rsidR="00243D31" w:rsidTr="00243D31">
        <w:trPr>
          <w:tblCellSpacing w:w="0" w:type="dxa"/>
        </w:trPr>
        <w:tc>
          <w:tcPr>
            <w:tcW w:w="2220" w:type="dxa"/>
            <w:vAlign w:val="center"/>
            <w:hideMark/>
          </w:tcPr>
          <w:p w:rsidR="00243D31" w:rsidRDefault="00243D31">
            <w:pPr>
              <w:pStyle w:val="NormalnyWeb"/>
            </w:pPr>
            <w:r>
              <w:rPr>
                <w:rStyle w:val="Pogrubienie"/>
                <w:lang w:val="en-US"/>
              </w:rPr>
              <w:t>GE Money</w:t>
            </w:r>
          </w:p>
        </w:tc>
        <w:tc>
          <w:tcPr>
            <w:tcW w:w="3915" w:type="dxa"/>
            <w:vAlign w:val="center"/>
            <w:hideMark/>
          </w:tcPr>
          <w:p w:rsidR="00243D31" w:rsidRDefault="00243D31">
            <w:pPr>
              <w:pStyle w:val="NormalnyWeb"/>
            </w:pPr>
            <w:proofErr w:type="spellStart"/>
            <w:r>
              <w:rPr>
                <w:lang w:val="en-US"/>
              </w:rPr>
              <w:t>Nieobowiązkowe</w:t>
            </w:r>
            <w:proofErr w:type="spellEnd"/>
          </w:p>
        </w:tc>
        <w:tc>
          <w:tcPr>
            <w:tcW w:w="3255" w:type="dxa"/>
            <w:vAlign w:val="center"/>
            <w:hideMark/>
          </w:tcPr>
          <w:p w:rsidR="00243D31" w:rsidRDefault="00243D31">
            <w:pPr>
              <w:pStyle w:val="NormalnyWeb"/>
            </w:pPr>
            <w:r>
              <w:t>Koszt ubezpieczenia w pierwszym roku wynosi 1,2% od kwoty kredytu lub 2,2% od kwoty kredytu w przypadku wyboru 2-letniego okresu ubezpieczenia. W zależności od wybranej opcji kredytu Klient może zamienić prowizję na pakiet  ubezpieczenia na życie i ubezpieczenia od bezrobocia lub na kredyt jedynie z ubezpieczeniem od bezrobocia</w:t>
            </w:r>
          </w:p>
        </w:tc>
      </w:tr>
      <w:tr w:rsidR="00243D31" w:rsidTr="00243D31">
        <w:trPr>
          <w:tblCellSpacing w:w="0" w:type="dxa"/>
        </w:trPr>
        <w:tc>
          <w:tcPr>
            <w:tcW w:w="2220" w:type="dxa"/>
            <w:vAlign w:val="center"/>
            <w:hideMark/>
          </w:tcPr>
          <w:p w:rsidR="00243D31" w:rsidRDefault="00243D31">
            <w:pPr>
              <w:pStyle w:val="NormalnyWeb"/>
            </w:pPr>
            <w:r>
              <w:rPr>
                <w:rStyle w:val="Pogrubienie"/>
                <w:lang w:val="en-US"/>
              </w:rPr>
              <w:t>ING</w:t>
            </w:r>
          </w:p>
        </w:tc>
        <w:tc>
          <w:tcPr>
            <w:tcW w:w="3915" w:type="dxa"/>
            <w:vAlign w:val="center"/>
            <w:hideMark/>
          </w:tcPr>
          <w:p w:rsidR="00243D31" w:rsidRDefault="00243D31">
            <w:pPr>
              <w:pStyle w:val="NormalnyWeb"/>
            </w:pPr>
            <w:r>
              <w:t xml:space="preserve">Nie jest wymagane. Wybierając pakiet ubezpieczeniowy "Bezpieczny Kredyt", klient nie płaci Bankowi prowizji za udzielenie kredytu. Jeśli natomiast zrezygnuje z Programu ubezpieczeniowego w ciągu 12 </w:t>
            </w:r>
            <w:proofErr w:type="spellStart"/>
            <w:r>
              <w:t>m-cy</w:t>
            </w:r>
            <w:proofErr w:type="spellEnd"/>
            <w:r>
              <w:t xml:space="preserve"> od udzielenia kredytu wówczas prowizja jest wymagana.</w:t>
            </w:r>
          </w:p>
        </w:tc>
        <w:tc>
          <w:tcPr>
            <w:tcW w:w="3255" w:type="dxa"/>
            <w:vAlign w:val="center"/>
            <w:hideMark/>
          </w:tcPr>
          <w:p w:rsidR="00243D31" w:rsidRDefault="00243D31">
            <w:pPr>
              <w:pStyle w:val="NormalnyWeb"/>
            </w:pPr>
            <w:r>
              <w:t xml:space="preserve">Koszt - w zależności od pakietu, który wybierze Klient od  0,03 % (Opcja Mini) do  0,08% od kwoty kredytu (Opcja Maxi).  </w:t>
            </w:r>
          </w:p>
        </w:tc>
      </w:tr>
      <w:tr w:rsidR="00243D31" w:rsidTr="00243D31">
        <w:trPr>
          <w:tblCellSpacing w:w="0" w:type="dxa"/>
        </w:trPr>
        <w:tc>
          <w:tcPr>
            <w:tcW w:w="2220" w:type="dxa"/>
            <w:vAlign w:val="center"/>
            <w:hideMark/>
          </w:tcPr>
          <w:p w:rsidR="00243D31" w:rsidRDefault="00243D31">
            <w:pPr>
              <w:pStyle w:val="NormalnyWeb"/>
            </w:pPr>
            <w:r>
              <w:rPr>
                <w:rStyle w:val="Pogrubienie"/>
                <w:lang w:val="en-US"/>
              </w:rPr>
              <w:t>Invest Bank</w:t>
            </w:r>
          </w:p>
        </w:tc>
        <w:tc>
          <w:tcPr>
            <w:tcW w:w="3915" w:type="dxa"/>
            <w:vAlign w:val="center"/>
            <w:hideMark/>
          </w:tcPr>
          <w:p w:rsidR="00243D31" w:rsidRDefault="00243D31">
            <w:pPr>
              <w:pStyle w:val="NormalnyWeb"/>
            </w:pPr>
            <w:proofErr w:type="spellStart"/>
            <w:r>
              <w:rPr>
                <w:lang w:val="en-US"/>
              </w:rPr>
              <w:t>Brak</w:t>
            </w:r>
            <w:proofErr w:type="spellEnd"/>
          </w:p>
        </w:tc>
        <w:tc>
          <w:tcPr>
            <w:tcW w:w="3255" w:type="dxa"/>
            <w:vAlign w:val="center"/>
            <w:hideMark/>
          </w:tcPr>
          <w:p w:rsidR="00243D31" w:rsidRDefault="00243D31">
            <w:pPr>
              <w:pStyle w:val="NormalnyWeb"/>
            </w:pPr>
            <w:r>
              <w:rPr>
                <w:lang w:val="en-US"/>
              </w:rPr>
              <w:t>-</w:t>
            </w:r>
          </w:p>
        </w:tc>
      </w:tr>
      <w:tr w:rsidR="00243D31" w:rsidTr="00243D31">
        <w:trPr>
          <w:tblCellSpacing w:w="0" w:type="dxa"/>
        </w:trPr>
        <w:tc>
          <w:tcPr>
            <w:tcW w:w="2220" w:type="dxa"/>
            <w:vAlign w:val="center"/>
            <w:hideMark/>
          </w:tcPr>
          <w:p w:rsidR="00243D31" w:rsidRDefault="00243D31">
            <w:pPr>
              <w:pStyle w:val="NormalnyWeb"/>
            </w:pPr>
            <w:proofErr w:type="spellStart"/>
            <w:r>
              <w:rPr>
                <w:rStyle w:val="Pogrubienie"/>
                <w:lang w:val="en-US"/>
              </w:rPr>
              <w:t>Kredyt</w:t>
            </w:r>
            <w:proofErr w:type="spellEnd"/>
            <w:r>
              <w:rPr>
                <w:rStyle w:val="Pogrubienie"/>
                <w:lang w:val="en-US"/>
              </w:rPr>
              <w:t xml:space="preserve"> Bank</w:t>
            </w:r>
          </w:p>
        </w:tc>
        <w:tc>
          <w:tcPr>
            <w:tcW w:w="3915" w:type="dxa"/>
            <w:vAlign w:val="center"/>
            <w:hideMark/>
          </w:tcPr>
          <w:p w:rsidR="00243D31" w:rsidRDefault="00243D31">
            <w:pPr>
              <w:pStyle w:val="NormalnyWeb"/>
            </w:pPr>
            <w:proofErr w:type="spellStart"/>
            <w:r>
              <w:rPr>
                <w:lang w:val="en-US"/>
              </w:rPr>
              <w:t>Nieobowiązkowe</w:t>
            </w:r>
            <w:proofErr w:type="spellEnd"/>
          </w:p>
        </w:tc>
        <w:tc>
          <w:tcPr>
            <w:tcW w:w="3255" w:type="dxa"/>
            <w:vAlign w:val="center"/>
            <w:hideMark/>
          </w:tcPr>
          <w:p w:rsidR="00243D31" w:rsidRDefault="00243D31">
            <w:pPr>
              <w:pStyle w:val="NormalnyWeb"/>
            </w:pPr>
            <w:r>
              <w:rPr>
                <w:lang w:val="en-US"/>
              </w:rPr>
              <w:t xml:space="preserve">4% </w:t>
            </w:r>
            <w:proofErr w:type="spellStart"/>
            <w:r>
              <w:rPr>
                <w:lang w:val="en-US"/>
              </w:rPr>
              <w:t>miesięcznej</w:t>
            </w:r>
            <w:proofErr w:type="spellEnd"/>
            <w:r>
              <w:rPr>
                <w:lang w:val="en-US"/>
              </w:rPr>
              <w:t xml:space="preserve"> </w:t>
            </w:r>
            <w:proofErr w:type="spellStart"/>
            <w:r>
              <w:rPr>
                <w:lang w:val="en-US"/>
              </w:rPr>
              <w:t>raty</w:t>
            </w:r>
            <w:proofErr w:type="spellEnd"/>
            <w:r>
              <w:rPr>
                <w:lang w:val="en-US"/>
              </w:rPr>
              <w:t xml:space="preserve">, </w:t>
            </w:r>
          </w:p>
        </w:tc>
      </w:tr>
      <w:tr w:rsidR="00243D31" w:rsidTr="00243D31">
        <w:trPr>
          <w:tblCellSpacing w:w="0" w:type="dxa"/>
        </w:trPr>
        <w:tc>
          <w:tcPr>
            <w:tcW w:w="2220" w:type="dxa"/>
            <w:vAlign w:val="center"/>
            <w:hideMark/>
          </w:tcPr>
          <w:p w:rsidR="00243D31" w:rsidRDefault="00243D31">
            <w:pPr>
              <w:pStyle w:val="NormalnyWeb"/>
            </w:pPr>
            <w:r>
              <w:rPr>
                <w:rStyle w:val="Pogrubienie"/>
                <w:lang w:val="en-US"/>
              </w:rPr>
              <w:t>Lukas Bank</w:t>
            </w:r>
          </w:p>
        </w:tc>
        <w:tc>
          <w:tcPr>
            <w:tcW w:w="3915" w:type="dxa"/>
            <w:vAlign w:val="center"/>
            <w:hideMark/>
          </w:tcPr>
          <w:p w:rsidR="00243D31" w:rsidRDefault="00243D31">
            <w:pPr>
              <w:pStyle w:val="NormalnyWeb"/>
            </w:pPr>
            <w:proofErr w:type="spellStart"/>
            <w:r>
              <w:rPr>
                <w:lang w:val="en-US"/>
              </w:rPr>
              <w:t>Nieobowiązkowe</w:t>
            </w:r>
            <w:proofErr w:type="spellEnd"/>
          </w:p>
        </w:tc>
        <w:tc>
          <w:tcPr>
            <w:tcW w:w="3255" w:type="dxa"/>
            <w:vAlign w:val="center"/>
            <w:hideMark/>
          </w:tcPr>
          <w:p w:rsidR="00243D31" w:rsidRDefault="00243D31">
            <w:pPr>
              <w:pStyle w:val="NormalnyWeb"/>
            </w:pPr>
            <w:r>
              <w:rPr>
                <w:lang w:val="en-US"/>
              </w:rPr>
              <w:t xml:space="preserve">0,0616% </w:t>
            </w:r>
            <w:proofErr w:type="spellStart"/>
            <w:r>
              <w:rPr>
                <w:lang w:val="en-US"/>
              </w:rPr>
              <w:t>kwoty</w:t>
            </w:r>
            <w:proofErr w:type="spellEnd"/>
            <w:r>
              <w:rPr>
                <w:lang w:val="en-US"/>
              </w:rPr>
              <w:t xml:space="preserve"> </w:t>
            </w:r>
            <w:proofErr w:type="spellStart"/>
            <w:r>
              <w:rPr>
                <w:lang w:val="en-US"/>
              </w:rPr>
              <w:t>kredytu</w:t>
            </w:r>
            <w:proofErr w:type="spellEnd"/>
          </w:p>
        </w:tc>
      </w:tr>
      <w:tr w:rsidR="00243D31" w:rsidTr="00243D31">
        <w:trPr>
          <w:tblCellSpacing w:w="0" w:type="dxa"/>
        </w:trPr>
        <w:tc>
          <w:tcPr>
            <w:tcW w:w="2220" w:type="dxa"/>
            <w:vAlign w:val="center"/>
            <w:hideMark/>
          </w:tcPr>
          <w:p w:rsidR="00243D31" w:rsidRDefault="00243D31">
            <w:pPr>
              <w:pStyle w:val="NormalnyWeb"/>
            </w:pPr>
            <w:proofErr w:type="spellStart"/>
            <w:r>
              <w:rPr>
                <w:rStyle w:val="Pogrubienie"/>
                <w:lang w:val="en-US"/>
              </w:rPr>
              <w:t>mBank</w:t>
            </w:r>
            <w:proofErr w:type="spellEnd"/>
          </w:p>
        </w:tc>
        <w:tc>
          <w:tcPr>
            <w:tcW w:w="3915" w:type="dxa"/>
            <w:vAlign w:val="center"/>
            <w:hideMark/>
          </w:tcPr>
          <w:p w:rsidR="00243D31" w:rsidRDefault="00243D31">
            <w:pPr>
              <w:pStyle w:val="NormalnyWeb"/>
            </w:pPr>
            <w:proofErr w:type="spellStart"/>
            <w:r>
              <w:rPr>
                <w:lang w:val="en-US"/>
              </w:rPr>
              <w:t>Nieobowiązkowe</w:t>
            </w:r>
            <w:proofErr w:type="spellEnd"/>
          </w:p>
        </w:tc>
        <w:tc>
          <w:tcPr>
            <w:tcW w:w="3255" w:type="dxa"/>
            <w:vAlign w:val="center"/>
            <w:hideMark/>
          </w:tcPr>
          <w:p w:rsidR="00243D31" w:rsidRDefault="00243D31">
            <w:pPr>
              <w:pStyle w:val="NormalnyWeb"/>
            </w:pPr>
            <w:r>
              <w:t xml:space="preserve">Sprzedawane jest w pakiecie z ubezpieczeniem na życie: 2,0% kwoty kredytu (składka na okres 24 </w:t>
            </w:r>
            <w:proofErr w:type="spellStart"/>
            <w:r>
              <w:t>m-cy</w:t>
            </w:r>
            <w:proofErr w:type="spellEnd"/>
            <w:r>
              <w:t xml:space="preserve">), od </w:t>
            </w:r>
            <w:r>
              <w:lastRenderedPageBreak/>
              <w:t>25 m-ca koszt pakietu ubezpieczeń doliczony jest do raty i wynosi 0,05% od aktualnego zadłużenia;</w:t>
            </w:r>
          </w:p>
        </w:tc>
      </w:tr>
      <w:tr w:rsidR="00243D31" w:rsidTr="00243D31">
        <w:trPr>
          <w:tblCellSpacing w:w="0" w:type="dxa"/>
        </w:trPr>
        <w:tc>
          <w:tcPr>
            <w:tcW w:w="2220" w:type="dxa"/>
            <w:vAlign w:val="center"/>
            <w:hideMark/>
          </w:tcPr>
          <w:p w:rsidR="00243D31" w:rsidRDefault="00243D31">
            <w:pPr>
              <w:pStyle w:val="NormalnyWeb"/>
            </w:pPr>
            <w:r>
              <w:rPr>
                <w:rStyle w:val="Pogrubienie"/>
                <w:lang w:val="en-US"/>
              </w:rPr>
              <w:lastRenderedPageBreak/>
              <w:t>Millennium</w:t>
            </w:r>
          </w:p>
        </w:tc>
        <w:tc>
          <w:tcPr>
            <w:tcW w:w="3915" w:type="dxa"/>
            <w:vAlign w:val="center"/>
            <w:hideMark/>
          </w:tcPr>
          <w:p w:rsidR="00243D31" w:rsidRDefault="00243D31">
            <w:pPr>
              <w:pStyle w:val="NormalnyWeb"/>
            </w:pPr>
            <w:proofErr w:type="spellStart"/>
            <w:r>
              <w:rPr>
                <w:lang w:val="en-US"/>
              </w:rPr>
              <w:t>Nieobowiązkowe</w:t>
            </w:r>
            <w:proofErr w:type="spellEnd"/>
          </w:p>
        </w:tc>
        <w:tc>
          <w:tcPr>
            <w:tcW w:w="3255" w:type="dxa"/>
            <w:vAlign w:val="center"/>
            <w:hideMark/>
          </w:tcPr>
          <w:p w:rsidR="00243D31" w:rsidRDefault="00243D31">
            <w:pPr>
              <w:pStyle w:val="NormalnyWeb"/>
            </w:pPr>
            <w:r>
              <w:t>2% kwoty kredytu za 5-letni okres ubezpieczenia, z możliwością doliczenia do kwoty kredytu (pod warunkiem, że LTV &lt;= 98% - nie możemy przekroczyć 100% LTV)</w:t>
            </w:r>
          </w:p>
        </w:tc>
      </w:tr>
      <w:tr w:rsidR="00243D31" w:rsidTr="00243D31">
        <w:trPr>
          <w:tblCellSpacing w:w="0" w:type="dxa"/>
        </w:trPr>
        <w:tc>
          <w:tcPr>
            <w:tcW w:w="2220" w:type="dxa"/>
            <w:vAlign w:val="center"/>
            <w:hideMark/>
          </w:tcPr>
          <w:p w:rsidR="00243D31" w:rsidRDefault="00243D31">
            <w:pPr>
              <w:pStyle w:val="NormalnyWeb"/>
            </w:pPr>
            <w:r>
              <w:rPr>
                <w:rStyle w:val="Pogrubienie"/>
                <w:lang w:val="en-US"/>
              </w:rPr>
              <w:t>Multibank</w:t>
            </w:r>
          </w:p>
        </w:tc>
        <w:tc>
          <w:tcPr>
            <w:tcW w:w="3915" w:type="dxa"/>
            <w:vAlign w:val="center"/>
            <w:hideMark/>
          </w:tcPr>
          <w:p w:rsidR="00243D31" w:rsidRDefault="00243D31">
            <w:pPr>
              <w:pStyle w:val="NormalnyWeb"/>
            </w:pPr>
            <w:proofErr w:type="spellStart"/>
            <w:r>
              <w:rPr>
                <w:lang w:val="en-US"/>
              </w:rPr>
              <w:t>Brak</w:t>
            </w:r>
            <w:proofErr w:type="spellEnd"/>
          </w:p>
        </w:tc>
        <w:tc>
          <w:tcPr>
            <w:tcW w:w="3255" w:type="dxa"/>
            <w:vAlign w:val="center"/>
            <w:hideMark/>
          </w:tcPr>
          <w:p w:rsidR="00243D31" w:rsidRDefault="00243D31">
            <w:pPr>
              <w:pStyle w:val="NormalnyWeb"/>
            </w:pPr>
            <w:r>
              <w:rPr>
                <w:lang w:val="en-US"/>
              </w:rPr>
              <w:t>-</w:t>
            </w:r>
          </w:p>
        </w:tc>
      </w:tr>
      <w:tr w:rsidR="00243D31" w:rsidTr="00243D31">
        <w:trPr>
          <w:tblCellSpacing w:w="0" w:type="dxa"/>
        </w:trPr>
        <w:tc>
          <w:tcPr>
            <w:tcW w:w="2220" w:type="dxa"/>
            <w:vAlign w:val="center"/>
            <w:hideMark/>
          </w:tcPr>
          <w:p w:rsidR="00243D31" w:rsidRDefault="00243D31">
            <w:pPr>
              <w:pStyle w:val="NormalnyWeb"/>
            </w:pPr>
            <w:proofErr w:type="spellStart"/>
            <w:r>
              <w:rPr>
                <w:rStyle w:val="Pogrubienie"/>
                <w:lang w:val="en-US"/>
              </w:rPr>
              <w:t>Nordea</w:t>
            </w:r>
            <w:proofErr w:type="spellEnd"/>
          </w:p>
        </w:tc>
        <w:tc>
          <w:tcPr>
            <w:tcW w:w="3915" w:type="dxa"/>
            <w:vAlign w:val="center"/>
            <w:hideMark/>
          </w:tcPr>
          <w:p w:rsidR="00243D31" w:rsidRDefault="00243D31">
            <w:pPr>
              <w:pStyle w:val="NormalnyWeb"/>
            </w:pPr>
            <w:proofErr w:type="spellStart"/>
            <w:r>
              <w:rPr>
                <w:lang w:val="en-US"/>
              </w:rPr>
              <w:t>Brak</w:t>
            </w:r>
            <w:proofErr w:type="spellEnd"/>
          </w:p>
        </w:tc>
        <w:tc>
          <w:tcPr>
            <w:tcW w:w="3255" w:type="dxa"/>
            <w:vAlign w:val="center"/>
            <w:hideMark/>
          </w:tcPr>
          <w:p w:rsidR="00243D31" w:rsidRDefault="00243D31">
            <w:pPr>
              <w:pStyle w:val="NormalnyWeb"/>
            </w:pPr>
            <w:r>
              <w:rPr>
                <w:lang w:val="en-US"/>
              </w:rPr>
              <w:t>-</w:t>
            </w:r>
          </w:p>
        </w:tc>
      </w:tr>
      <w:tr w:rsidR="00243D31" w:rsidTr="00243D31">
        <w:trPr>
          <w:tblCellSpacing w:w="0" w:type="dxa"/>
        </w:trPr>
        <w:tc>
          <w:tcPr>
            <w:tcW w:w="2220" w:type="dxa"/>
            <w:vAlign w:val="center"/>
            <w:hideMark/>
          </w:tcPr>
          <w:p w:rsidR="00243D31" w:rsidRDefault="00243D31">
            <w:pPr>
              <w:pStyle w:val="NormalnyWeb"/>
            </w:pPr>
            <w:proofErr w:type="spellStart"/>
            <w:r>
              <w:rPr>
                <w:rStyle w:val="Pogrubienie"/>
                <w:lang w:val="en-US"/>
              </w:rPr>
              <w:t>Pekao</w:t>
            </w:r>
            <w:proofErr w:type="spellEnd"/>
            <w:r>
              <w:rPr>
                <w:rStyle w:val="Pogrubienie"/>
                <w:lang w:val="en-US"/>
              </w:rPr>
              <w:t xml:space="preserve"> SA</w:t>
            </w:r>
          </w:p>
        </w:tc>
        <w:tc>
          <w:tcPr>
            <w:tcW w:w="3915" w:type="dxa"/>
            <w:vAlign w:val="center"/>
            <w:hideMark/>
          </w:tcPr>
          <w:p w:rsidR="00243D31" w:rsidRDefault="00243D31">
            <w:pPr>
              <w:pStyle w:val="NormalnyWeb"/>
            </w:pPr>
            <w:proofErr w:type="spellStart"/>
            <w:r>
              <w:rPr>
                <w:lang w:val="en-US"/>
              </w:rPr>
              <w:t>Nieobowiązkowe</w:t>
            </w:r>
            <w:proofErr w:type="spellEnd"/>
          </w:p>
        </w:tc>
        <w:tc>
          <w:tcPr>
            <w:tcW w:w="3255" w:type="dxa"/>
            <w:vAlign w:val="center"/>
            <w:hideMark/>
          </w:tcPr>
          <w:p w:rsidR="00243D31" w:rsidRDefault="00243D31">
            <w:pPr>
              <w:pStyle w:val="NormalnyWeb"/>
            </w:pPr>
            <w:r>
              <w:t>2% za 5 lat kredytowana i pobierana z kwoty kredytu.</w:t>
            </w:r>
          </w:p>
        </w:tc>
      </w:tr>
      <w:tr w:rsidR="00243D31" w:rsidTr="00243D31">
        <w:trPr>
          <w:tblCellSpacing w:w="0" w:type="dxa"/>
        </w:trPr>
        <w:tc>
          <w:tcPr>
            <w:tcW w:w="2220" w:type="dxa"/>
            <w:vAlign w:val="center"/>
            <w:hideMark/>
          </w:tcPr>
          <w:p w:rsidR="00243D31" w:rsidRDefault="00243D31">
            <w:pPr>
              <w:pStyle w:val="NormalnyWeb"/>
            </w:pPr>
            <w:r>
              <w:rPr>
                <w:rStyle w:val="Pogrubienie"/>
                <w:lang w:val="en-US"/>
              </w:rPr>
              <w:t>PKO BP</w:t>
            </w:r>
          </w:p>
        </w:tc>
        <w:tc>
          <w:tcPr>
            <w:tcW w:w="3915" w:type="dxa"/>
            <w:vAlign w:val="center"/>
            <w:hideMark/>
          </w:tcPr>
          <w:p w:rsidR="00243D31" w:rsidRDefault="00243D31">
            <w:pPr>
              <w:pStyle w:val="NormalnyWeb"/>
            </w:pPr>
            <w:proofErr w:type="spellStart"/>
            <w:r>
              <w:rPr>
                <w:lang w:val="en-US"/>
              </w:rPr>
              <w:t>Nieobowiązkowe</w:t>
            </w:r>
            <w:proofErr w:type="spellEnd"/>
          </w:p>
        </w:tc>
        <w:tc>
          <w:tcPr>
            <w:tcW w:w="3255" w:type="dxa"/>
            <w:vAlign w:val="center"/>
            <w:hideMark/>
          </w:tcPr>
          <w:p w:rsidR="00243D31" w:rsidRDefault="00243D31">
            <w:pPr>
              <w:pStyle w:val="NormalnyWeb"/>
            </w:pPr>
            <w:r>
              <w:t>4,2% kwoty kredytu, okres trwania ubezpieczenia: 6 lat</w:t>
            </w:r>
          </w:p>
        </w:tc>
      </w:tr>
      <w:tr w:rsidR="00243D31" w:rsidTr="00243D31">
        <w:trPr>
          <w:tblCellSpacing w:w="0" w:type="dxa"/>
        </w:trPr>
        <w:tc>
          <w:tcPr>
            <w:tcW w:w="2220" w:type="dxa"/>
            <w:vAlign w:val="center"/>
            <w:hideMark/>
          </w:tcPr>
          <w:p w:rsidR="00243D31" w:rsidRDefault="00243D31">
            <w:pPr>
              <w:pStyle w:val="NormalnyWeb"/>
            </w:pPr>
            <w:proofErr w:type="spellStart"/>
            <w:r>
              <w:rPr>
                <w:rStyle w:val="Pogrubienie"/>
                <w:lang w:val="en-US"/>
              </w:rPr>
              <w:t>Polbank</w:t>
            </w:r>
            <w:proofErr w:type="spellEnd"/>
            <w:r>
              <w:rPr>
                <w:rStyle w:val="Pogrubienie"/>
                <w:lang w:val="en-US"/>
              </w:rPr>
              <w:t xml:space="preserve"> EFG</w:t>
            </w:r>
          </w:p>
        </w:tc>
        <w:tc>
          <w:tcPr>
            <w:tcW w:w="3915" w:type="dxa"/>
            <w:vAlign w:val="center"/>
            <w:hideMark/>
          </w:tcPr>
          <w:p w:rsidR="00243D31" w:rsidRDefault="00243D31">
            <w:pPr>
              <w:pStyle w:val="NormalnyWeb"/>
            </w:pPr>
            <w:proofErr w:type="spellStart"/>
            <w:r>
              <w:rPr>
                <w:lang w:val="en-US"/>
              </w:rPr>
              <w:t>Brak</w:t>
            </w:r>
            <w:proofErr w:type="spellEnd"/>
          </w:p>
        </w:tc>
        <w:tc>
          <w:tcPr>
            <w:tcW w:w="3255" w:type="dxa"/>
            <w:vAlign w:val="center"/>
            <w:hideMark/>
          </w:tcPr>
          <w:p w:rsidR="00243D31" w:rsidRDefault="00243D31">
            <w:pPr>
              <w:pStyle w:val="NormalnyWeb"/>
            </w:pPr>
            <w:r>
              <w:rPr>
                <w:lang w:val="en-US"/>
              </w:rPr>
              <w:t>-</w:t>
            </w:r>
          </w:p>
        </w:tc>
      </w:tr>
      <w:tr w:rsidR="00243D31" w:rsidTr="00243D31">
        <w:trPr>
          <w:tblCellSpacing w:w="0" w:type="dxa"/>
        </w:trPr>
        <w:tc>
          <w:tcPr>
            <w:tcW w:w="2220" w:type="dxa"/>
            <w:vAlign w:val="center"/>
            <w:hideMark/>
          </w:tcPr>
          <w:p w:rsidR="00243D31" w:rsidRDefault="00243D31">
            <w:pPr>
              <w:pStyle w:val="NormalnyWeb"/>
            </w:pPr>
            <w:proofErr w:type="spellStart"/>
            <w:r>
              <w:rPr>
                <w:rStyle w:val="Pogrubienie"/>
                <w:lang w:val="en-US"/>
              </w:rPr>
              <w:t>Raiffeisen</w:t>
            </w:r>
            <w:proofErr w:type="spellEnd"/>
          </w:p>
        </w:tc>
        <w:tc>
          <w:tcPr>
            <w:tcW w:w="3915" w:type="dxa"/>
            <w:vAlign w:val="center"/>
            <w:hideMark/>
          </w:tcPr>
          <w:p w:rsidR="00243D31" w:rsidRDefault="00243D31">
            <w:pPr>
              <w:pStyle w:val="NormalnyWeb"/>
            </w:pPr>
            <w:proofErr w:type="spellStart"/>
            <w:r>
              <w:rPr>
                <w:lang w:val="en-US"/>
              </w:rPr>
              <w:t>Nieobowiązkowe</w:t>
            </w:r>
            <w:proofErr w:type="spellEnd"/>
          </w:p>
        </w:tc>
        <w:tc>
          <w:tcPr>
            <w:tcW w:w="3255" w:type="dxa"/>
            <w:vAlign w:val="center"/>
            <w:hideMark/>
          </w:tcPr>
          <w:p w:rsidR="00243D31" w:rsidRDefault="00243D31">
            <w:pPr>
              <w:pStyle w:val="NormalnyWeb"/>
            </w:pPr>
            <w:r>
              <w:rPr>
                <w:lang w:val="en-US"/>
              </w:rPr>
              <w:t xml:space="preserve">0,25% </w:t>
            </w:r>
            <w:proofErr w:type="spellStart"/>
            <w:r>
              <w:rPr>
                <w:lang w:val="en-US"/>
              </w:rPr>
              <w:t>aktualnego</w:t>
            </w:r>
            <w:proofErr w:type="spellEnd"/>
            <w:r>
              <w:rPr>
                <w:lang w:val="en-US"/>
              </w:rPr>
              <w:t xml:space="preserve"> </w:t>
            </w:r>
            <w:proofErr w:type="spellStart"/>
            <w:r>
              <w:rPr>
                <w:lang w:val="en-US"/>
              </w:rPr>
              <w:t>zadłużenia</w:t>
            </w:r>
            <w:proofErr w:type="spellEnd"/>
          </w:p>
        </w:tc>
      </w:tr>
      <w:tr w:rsidR="00243D31" w:rsidTr="00243D31">
        <w:trPr>
          <w:tblCellSpacing w:w="0" w:type="dxa"/>
        </w:trPr>
        <w:tc>
          <w:tcPr>
            <w:tcW w:w="2220" w:type="dxa"/>
            <w:vAlign w:val="center"/>
            <w:hideMark/>
          </w:tcPr>
          <w:p w:rsidR="00243D31" w:rsidRDefault="00243D31">
            <w:pPr>
              <w:pStyle w:val="NormalnyWeb"/>
            </w:pPr>
            <w:r>
              <w:rPr>
                <w:rStyle w:val="Pogrubienie"/>
                <w:lang w:val="en-US"/>
              </w:rPr>
              <w:t>Santander</w:t>
            </w:r>
          </w:p>
        </w:tc>
        <w:tc>
          <w:tcPr>
            <w:tcW w:w="3915" w:type="dxa"/>
            <w:vAlign w:val="center"/>
            <w:hideMark/>
          </w:tcPr>
          <w:p w:rsidR="00243D31" w:rsidRDefault="00243D31">
            <w:pPr>
              <w:pStyle w:val="NormalnyWeb"/>
            </w:pPr>
            <w:proofErr w:type="spellStart"/>
            <w:r>
              <w:rPr>
                <w:lang w:val="en-US"/>
              </w:rPr>
              <w:t>Nieobowiązkowe</w:t>
            </w:r>
            <w:proofErr w:type="spellEnd"/>
          </w:p>
        </w:tc>
        <w:tc>
          <w:tcPr>
            <w:tcW w:w="3255" w:type="dxa"/>
            <w:vAlign w:val="center"/>
            <w:hideMark/>
          </w:tcPr>
          <w:p w:rsidR="00243D31" w:rsidRDefault="00243D31">
            <w:pPr>
              <w:pStyle w:val="NormalnyWeb"/>
            </w:pPr>
            <w:r>
              <w:t>1,5%-za 5 letni okres ubezpieczenia (0,3% rocznie),składka jest obliczana jest jako iloczyn stopy składki i początkowej kwoty kredytu ,stopa składki jest niezmienna w okresie ubezpieczenia, Składka opłacana jest z góry za cały okres ubezpieczenia</w:t>
            </w:r>
          </w:p>
        </w:tc>
      </w:tr>
    </w:tbl>
    <w:p w:rsidR="00243D31" w:rsidRDefault="00243D31" w:rsidP="00243D31">
      <w:pPr>
        <w:pStyle w:val="NormalnyWeb"/>
      </w:pPr>
      <w:r>
        <w:rPr>
          <w:rStyle w:val="Uwydatnienie"/>
        </w:rPr>
        <w:t>Źródło: banki</w:t>
      </w:r>
    </w:p>
    <w:p w:rsidR="00F825F4" w:rsidRDefault="00F825F4" w:rsidP="00243D31"/>
    <w:sectPr w:rsidR="00F825F4" w:rsidSect="00F825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3D31"/>
    <w:rsid w:val="00243D31"/>
    <w:rsid w:val="003E4B7D"/>
    <w:rsid w:val="00DD607A"/>
    <w:rsid w:val="00F825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3D31"/>
    <w:pPr>
      <w:spacing w:after="0" w:line="240" w:lineRule="auto"/>
    </w:pPr>
    <w:rPr>
      <w:rFonts w:ascii="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43D31"/>
    <w:pPr>
      <w:shd w:val="clear" w:color="auto" w:fill="FFFFFF"/>
      <w:spacing w:before="100" w:beforeAutospacing="1" w:after="100" w:afterAutospacing="1"/>
    </w:pPr>
    <w:rPr>
      <w:rFonts w:ascii="Arial" w:hAnsi="Arial" w:cs="Arial"/>
      <w:color w:val="666666"/>
      <w:sz w:val="18"/>
      <w:szCs w:val="18"/>
    </w:rPr>
  </w:style>
  <w:style w:type="character" w:styleId="Pogrubienie">
    <w:name w:val="Strong"/>
    <w:basedOn w:val="Domylnaczcionkaakapitu"/>
    <w:uiPriority w:val="22"/>
    <w:qFormat/>
    <w:rsid w:val="00243D31"/>
    <w:rPr>
      <w:b/>
      <w:bCs/>
    </w:rPr>
  </w:style>
  <w:style w:type="character" w:styleId="Uwydatnienie">
    <w:name w:val="Emphasis"/>
    <w:basedOn w:val="Domylnaczcionkaakapitu"/>
    <w:uiPriority w:val="20"/>
    <w:qFormat/>
    <w:rsid w:val="00243D31"/>
    <w:rPr>
      <w:i/>
      <w:iCs/>
    </w:rPr>
  </w:style>
</w:styles>
</file>

<file path=word/webSettings.xml><?xml version="1.0" encoding="utf-8"?>
<w:webSettings xmlns:r="http://schemas.openxmlformats.org/officeDocument/2006/relationships" xmlns:w="http://schemas.openxmlformats.org/wordprocessingml/2006/main">
  <w:divs>
    <w:div w:id="54094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5286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INTERIA PL SA</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mfilus</dc:creator>
  <cp:keywords/>
  <dc:description/>
  <cp:lastModifiedBy>mfilus</cp:lastModifiedBy>
  <cp:revision>2</cp:revision>
  <dcterms:created xsi:type="dcterms:W3CDTF">2008-12-02T13:45:00Z</dcterms:created>
  <dcterms:modified xsi:type="dcterms:W3CDTF">2008-12-02T13:45:00Z</dcterms:modified>
</cp:coreProperties>
</file>